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F00E33">
      <w:pPr>
        <w:jc w:val="center"/>
        <w:rPr>
          <w:rFonts w:hint="eastAsia" w:ascii="Times New Roman" w:hAnsi="Times New Roman" w:eastAsia="宋体" w:cs="Times New Roman"/>
          <w:b/>
          <w:bCs/>
          <w:sz w:val="44"/>
          <w:szCs w:val="44"/>
          <w:lang w:val="de-DE" w:eastAsia="zh-CN"/>
        </w:rPr>
      </w:pPr>
      <w:r>
        <w:rPr>
          <w:rFonts w:hint="eastAsia" w:ascii="Times New Roman" w:hAnsi="Times New Roman" w:eastAsia="宋体" w:cs="Times New Roman"/>
          <w:b/>
          <w:bCs/>
          <w:sz w:val="44"/>
          <w:szCs w:val="44"/>
          <w:lang w:val="de-DE" w:eastAsia="zh-CN"/>
        </w:rPr>
        <w:drawing>
          <wp:inline distT="0" distB="0" distL="114300" distR="114300">
            <wp:extent cx="1823085" cy="1823085"/>
            <wp:effectExtent l="0" t="0" r="5715" b="5715"/>
            <wp:docPr id="4" name="图片 4" descr="畜牧兽医专业教学资源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畜牧兽医专业教学资源库"/>
                    <pic:cNvPicPr>
                      <a:picLocks noChangeAspect="1"/>
                    </pic:cNvPicPr>
                  </pic:nvPicPr>
                  <pic:blipFill>
                    <a:blip r:embed="rId5"/>
                    <a:stretch>
                      <a:fillRect/>
                    </a:stretch>
                  </pic:blipFill>
                  <pic:spPr>
                    <a:xfrm>
                      <a:off x="0" y="0"/>
                      <a:ext cx="1823085" cy="1823085"/>
                    </a:xfrm>
                    <a:prstGeom prst="rect">
                      <a:avLst/>
                    </a:prstGeom>
                  </pic:spPr>
                </pic:pic>
              </a:graphicData>
            </a:graphic>
          </wp:inline>
        </w:drawing>
      </w:r>
    </w:p>
    <w:p w14:paraId="692602E2">
      <w:pPr>
        <w:jc w:val="center"/>
        <w:outlineLvl w:val="0"/>
        <w:rPr>
          <w:rFonts w:hint="eastAsia" w:ascii="Times New Roman" w:hAnsi="Times New Roman" w:eastAsia="宋体" w:cs="Times New Roman"/>
          <w:b/>
          <w:bCs/>
          <w:sz w:val="36"/>
          <w:szCs w:val="36"/>
          <w:lang w:val="de-DE" w:eastAsia="zh-CN"/>
        </w:rPr>
      </w:pPr>
      <w:bookmarkStart w:id="0" w:name="_Toc13633"/>
    </w:p>
    <w:p w14:paraId="47A8DE48">
      <w:pPr>
        <w:jc w:val="center"/>
        <w:outlineLvl w:val="0"/>
        <w:rPr>
          <w:rFonts w:ascii="Times New Roman" w:hAnsi="Times New Roman" w:eastAsia="宋体" w:cs="Times New Roman"/>
          <w:b/>
          <w:bCs/>
          <w:sz w:val="36"/>
          <w:szCs w:val="36"/>
          <w:lang w:val="de-DE"/>
        </w:rPr>
      </w:pPr>
      <w:bookmarkStart w:id="1" w:name="_Toc21768"/>
      <w:r>
        <w:rPr>
          <w:rFonts w:hint="eastAsia" w:ascii="Times New Roman" w:hAnsi="Times New Roman" w:eastAsia="宋体" w:cs="Times New Roman"/>
          <w:b/>
          <w:bCs/>
          <w:sz w:val="36"/>
          <w:szCs w:val="36"/>
          <w:lang w:val="de-DE" w:eastAsia="zh-CN"/>
        </w:rPr>
        <w:t>牛的胚胎移植虚拟仿真实训实验</w:t>
      </w:r>
      <w:r>
        <w:rPr>
          <w:rFonts w:ascii="Times New Roman" w:hAnsi="Times New Roman" w:eastAsia="宋体" w:cs="Times New Roman"/>
          <w:b/>
          <w:bCs/>
          <w:sz w:val="36"/>
          <w:szCs w:val="36"/>
          <w:lang w:val="de-DE"/>
        </w:rPr>
        <w:t>课程报告</w:t>
      </w:r>
      <w:bookmarkEnd w:id="0"/>
      <w:bookmarkEnd w:id="1"/>
    </w:p>
    <w:p w14:paraId="74BB8035">
      <w:pPr>
        <w:spacing w:line="720" w:lineRule="auto"/>
        <w:rPr>
          <w:rFonts w:hint="default" w:ascii="Times New Roman" w:hAnsi="Times New Roman" w:eastAsia="宋体" w:cs="Times New Roman"/>
          <w:b/>
          <w:bCs/>
          <w:sz w:val="32"/>
          <w:u w:val="single"/>
          <w:lang w:val="en-US" w:eastAsia="zh-CN"/>
        </w:rPr>
      </w:pPr>
      <w:r>
        <w:rPr>
          <w:rFonts w:ascii="Times New Roman" w:hAnsi="Times New Roman" w:eastAsia="宋体" w:cs="Times New Roman"/>
          <w:b/>
          <w:bCs/>
          <w:sz w:val="32"/>
          <w:lang w:val="de-DE"/>
        </w:rPr>
        <w:t>设计题目：</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r>
        <w:rPr>
          <w:rFonts w:hint="eastAsia" w:ascii="Times New Roman" w:hAnsi="Times New Roman" w:eastAsia="宋体" w:cs="Times New Roman"/>
          <w:b/>
          <w:bCs/>
          <w:sz w:val="36"/>
          <w:szCs w:val="36"/>
          <w:u w:val="single"/>
          <w:lang w:val="de-DE" w:eastAsia="zh-CN"/>
        </w:rPr>
        <w:t>牛的胚胎移植</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p>
    <w:p w14:paraId="222AF51B">
      <w:pPr>
        <w:spacing w:line="720" w:lineRule="auto"/>
        <w:rPr>
          <w:rFonts w:hint="default" w:ascii="Times New Roman" w:hAnsi="Times New Roman" w:eastAsia="宋体" w:cs="Times New Roman"/>
          <w:b/>
          <w:bCs/>
          <w:sz w:val="32"/>
          <w:lang w:val="en-US" w:eastAsia="zh-CN"/>
        </w:rPr>
      </w:pPr>
      <w:r>
        <w:rPr>
          <w:rFonts w:hint="eastAsia" w:ascii="Times New Roman" w:hAnsi="Times New Roman" w:eastAsia="宋体" w:cs="Times New Roman"/>
          <w:b/>
          <w:bCs/>
          <w:sz w:val="32"/>
          <w:lang w:val="en-US" w:eastAsia="zh-CN"/>
        </w:rPr>
        <w:t>专    业</w:t>
      </w:r>
      <w:r>
        <w:rPr>
          <w:rFonts w:ascii="Times New Roman" w:hAnsi="Times New Roman" w:eastAsia="宋体" w:cs="Times New Roman"/>
          <w:b/>
          <w:bCs/>
          <w:sz w:val="32"/>
          <w:lang w:val="de-DE"/>
        </w:rPr>
        <w:t>：</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r>
        <w:rPr>
          <w:rFonts w:hint="eastAsia" w:ascii="Times New Roman" w:hAnsi="Times New Roman" w:eastAsia="宋体" w:cs="Times New Roman"/>
          <w:b/>
          <w:bCs/>
          <w:sz w:val="36"/>
          <w:szCs w:val="36"/>
          <w:u w:val="single"/>
          <w:lang w:val="en-US" w:eastAsia="zh-CN"/>
        </w:rPr>
        <w:t>畜牧兽医</w:t>
      </w:r>
      <w:r>
        <w:rPr>
          <w:rFonts w:hint="eastAsia" w:ascii="Times New Roman" w:hAnsi="Times New Roman" w:eastAsia="宋体" w:cs="Times New Roman"/>
          <w:b/>
          <w:bCs/>
          <w:sz w:val="36"/>
          <w:szCs w:val="36"/>
          <w:u w:val="single"/>
          <w:lang w:val="de-DE" w:eastAsia="zh-CN"/>
        </w:rPr>
        <w:t xml:space="preserve">  </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p>
    <w:p w14:paraId="1C3DCA7B">
      <w:pPr>
        <w:spacing w:line="720" w:lineRule="auto"/>
        <w:rPr>
          <w:rFonts w:hint="default" w:ascii="Times New Roman" w:hAnsi="Times New Roman" w:eastAsia="宋体" w:cs="Times New Roman"/>
          <w:b/>
          <w:bCs/>
          <w:sz w:val="32"/>
          <w:u w:val="single"/>
          <w:lang w:val="en-US" w:eastAsia="zh-CN"/>
        </w:rPr>
      </w:pPr>
      <w:r>
        <w:rPr>
          <w:rFonts w:ascii="Times New Roman" w:hAnsi="Times New Roman" w:eastAsia="宋体" w:cs="Times New Roman"/>
          <w:b/>
          <w:bCs/>
          <w:sz w:val="32"/>
          <w:lang w:val="de-DE"/>
        </w:rPr>
        <w:t>指导教师：</w:t>
      </w:r>
      <w:r>
        <w:rPr>
          <w:rFonts w:hint="eastAsia" w:ascii="Times New Roman" w:hAnsi="Times New Roman" w:eastAsia="宋体" w:cs="Times New Roman"/>
          <w:b/>
          <w:bCs/>
          <w:sz w:val="36"/>
          <w:szCs w:val="36"/>
          <w:u w:val="single"/>
          <w:lang w:val="de-DE" w:eastAsia="zh-CN"/>
        </w:rPr>
        <w:t xml:space="preserve"> </w:t>
      </w:r>
      <w:r>
        <w:rPr>
          <w:rFonts w:hint="eastAsia" w:ascii="Times New Roman" w:hAnsi="Times New Roman" w:eastAsia="宋体" w:cs="Times New Roman"/>
          <w:b/>
          <w:bCs/>
          <w:sz w:val="36"/>
          <w:szCs w:val="36"/>
          <w:u w:val="single"/>
          <w:lang w:val="en-US" w:eastAsia="zh-CN"/>
        </w:rPr>
        <w:t xml:space="preserve">               </w:t>
      </w:r>
      <w:r>
        <w:rPr>
          <w:rFonts w:hint="eastAsia" w:ascii="Times New Roman" w:hAnsi="Times New Roman" w:eastAsia="宋体" w:cs="Times New Roman"/>
          <w:b/>
          <w:bCs/>
          <w:sz w:val="36"/>
          <w:szCs w:val="36"/>
          <w:u w:val="single"/>
          <w:lang w:val="de-DE" w:eastAsia="zh-CN"/>
        </w:rPr>
        <w:t xml:space="preserve">周凌博    </w:t>
      </w:r>
      <w:r>
        <w:rPr>
          <w:rFonts w:ascii="Times New Roman" w:hAnsi="Times New Roman" w:eastAsia="宋体" w:cs="Times New Roman"/>
          <w:b/>
          <w:bCs/>
          <w:sz w:val="32"/>
          <w:u w:val="single"/>
          <w:lang w:val="de-DE"/>
        </w:rPr>
        <w:t xml:space="preserve">               </w:t>
      </w:r>
    </w:p>
    <w:p w14:paraId="25E04C03">
      <w:pPr>
        <w:spacing w:line="720" w:lineRule="auto"/>
        <w:rPr>
          <w:rFonts w:hint="default" w:ascii="Times New Roman" w:hAnsi="Times New Roman" w:eastAsia="宋体" w:cs="Times New Roman"/>
          <w:b/>
          <w:bCs/>
          <w:sz w:val="32"/>
          <w:highlight w:val="none"/>
          <w:u w:val="single"/>
          <w:lang w:val="en-US" w:eastAsia="zh-CN"/>
        </w:rPr>
      </w:pPr>
      <w:r>
        <w:rPr>
          <w:rFonts w:hint="eastAsia" w:ascii="Times New Roman" w:hAnsi="Times New Roman" w:eastAsia="宋体" w:cs="Times New Roman"/>
          <w:b/>
          <w:bCs/>
          <w:sz w:val="32"/>
          <w:u w:val="none"/>
          <w:lang w:val="en-US" w:eastAsia="zh-CN"/>
        </w:rPr>
        <w:t>学生姓名：</w:t>
      </w:r>
      <w:r>
        <w:rPr>
          <w:rFonts w:hint="eastAsia" w:ascii="Times New Roman" w:hAnsi="Times New Roman" w:eastAsia="宋体" w:cs="Times New Roman"/>
          <w:b/>
          <w:bCs/>
          <w:sz w:val="32"/>
          <w:u w:val="single"/>
          <w:lang w:val="en-US" w:eastAsia="zh-CN"/>
        </w:rPr>
        <w:t xml:space="preserve">              </w:t>
      </w:r>
      <w:r>
        <w:rPr>
          <w:rFonts w:hint="eastAsia" w:ascii="Times New Roman" w:hAnsi="Times New Roman" w:eastAsia="宋体" w:cs="Times New Roman"/>
          <w:b/>
          <w:bCs/>
          <w:sz w:val="32"/>
          <w:highlight w:val="none"/>
          <w:u w:val="single"/>
          <w:lang w:val="en-US" w:eastAsia="zh-CN"/>
        </w:rPr>
        <w:t xml:space="preserve">   {name}                     </w:t>
      </w:r>
    </w:p>
    <w:p w14:paraId="4A3D13DE">
      <w:pPr>
        <w:spacing w:line="720" w:lineRule="auto"/>
        <w:rPr>
          <w:rFonts w:hint="default" w:ascii="Times New Roman" w:hAnsi="Times New Roman" w:eastAsia="宋体" w:cs="Times New Roman"/>
          <w:b/>
          <w:bCs/>
          <w:sz w:val="32"/>
          <w:highlight w:val="none"/>
          <w:u w:val="single"/>
          <w:lang w:val="en-US" w:eastAsia="zh-CN"/>
        </w:rPr>
      </w:pPr>
      <w:r>
        <w:rPr>
          <w:rFonts w:hint="eastAsia" w:ascii="Times New Roman" w:hAnsi="Times New Roman" w:eastAsia="宋体" w:cs="Times New Roman"/>
          <w:b/>
          <w:bCs/>
          <w:sz w:val="32"/>
          <w:highlight w:val="none"/>
          <w:u w:val="none"/>
          <w:lang w:val="en-US" w:eastAsia="zh-CN"/>
        </w:rPr>
        <w:t>学生学号：</w:t>
      </w:r>
      <w:r>
        <w:rPr>
          <w:rFonts w:hint="eastAsia" w:ascii="Times New Roman" w:hAnsi="Times New Roman" w:eastAsia="宋体" w:cs="Times New Roman"/>
          <w:b/>
          <w:bCs/>
          <w:sz w:val="32"/>
          <w:highlight w:val="none"/>
          <w:u w:val="single"/>
          <w:lang w:val="en-US" w:eastAsia="zh-CN"/>
        </w:rPr>
        <w:t xml:space="preserve">                 {id}                        </w:t>
      </w:r>
    </w:p>
    <w:p w14:paraId="6791D4AB">
      <w:pPr>
        <w:spacing w:line="720" w:lineRule="auto"/>
        <w:rPr>
          <w:rFonts w:hint="default" w:ascii="Times New Roman" w:hAnsi="Times New Roman" w:eastAsia="宋体" w:cs="Times New Roman"/>
          <w:b/>
          <w:bCs/>
          <w:sz w:val="32"/>
          <w:highlight w:val="none"/>
          <w:lang w:val="en-US" w:eastAsia="zh-CN"/>
        </w:rPr>
      </w:pPr>
      <w:r>
        <w:rPr>
          <w:rFonts w:hint="eastAsia" w:ascii="Times New Roman" w:hAnsi="Times New Roman" w:eastAsia="宋体" w:cs="Times New Roman"/>
          <w:b/>
          <w:bCs/>
          <w:sz w:val="32"/>
          <w:highlight w:val="none"/>
          <w:lang w:val="en-US" w:eastAsia="zh-CN"/>
        </w:rPr>
        <w:t>实验</w:t>
      </w:r>
      <w:r>
        <w:rPr>
          <w:rFonts w:ascii="Times New Roman" w:hAnsi="Times New Roman" w:eastAsia="宋体" w:cs="Times New Roman"/>
          <w:b/>
          <w:bCs/>
          <w:sz w:val="32"/>
          <w:highlight w:val="none"/>
          <w:lang w:val="de-DE"/>
        </w:rPr>
        <w:t>时间：</w:t>
      </w:r>
      <w:r>
        <w:rPr>
          <w:rFonts w:hint="eastAsia" w:ascii="Times New Roman" w:hAnsi="Times New Roman" w:eastAsia="宋体" w:cs="Times New Roman"/>
          <w:b/>
          <w:bCs/>
          <w:sz w:val="32"/>
          <w:highlight w:val="none"/>
          <w:u w:val="single"/>
          <w:lang w:val="en-US" w:eastAsia="zh-CN"/>
        </w:rPr>
        <w:t xml:space="preserve">                 {time}</w:t>
      </w:r>
      <w:r>
        <w:rPr>
          <w:rFonts w:ascii="Times New Roman" w:hAnsi="Times New Roman" w:eastAsia="宋体" w:cs="Times New Roman"/>
          <w:b/>
          <w:bCs/>
          <w:sz w:val="32"/>
          <w:highlight w:val="none"/>
          <w:u w:val="single"/>
          <w:lang w:val="de-DE"/>
        </w:rPr>
        <w:t xml:space="preserve">   </w:t>
      </w:r>
      <w:r>
        <w:rPr>
          <w:rFonts w:hint="eastAsia" w:ascii="Times New Roman" w:hAnsi="Times New Roman" w:eastAsia="宋体" w:cs="Times New Roman"/>
          <w:b/>
          <w:bCs/>
          <w:sz w:val="32"/>
          <w:highlight w:val="none"/>
          <w:u w:val="single"/>
          <w:lang w:val="en-US" w:eastAsia="zh-CN"/>
        </w:rPr>
        <w:t xml:space="preserve">             </w:t>
      </w:r>
      <w:r>
        <w:rPr>
          <w:rFonts w:ascii="Times New Roman" w:hAnsi="Times New Roman" w:eastAsia="宋体" w:cs="Times New Roman"/>
          <w:b/>
          <w:bCs/>
          <w:sz w:val="32"/>
          <w:highlight w:val="none"/>
          <w:u w:val="single"/>
          <w:lang w:val="de-DE"/>
        </w:rPr>
        <w:t xml:space="preserve">   </w:t>
      </w:r>
      <w:r>
        <w:rPr>
          <w:rFonts w:hint="eastAsia" w:ascii="Times New Roman" w:hAnsi="Times New Roman" w:eastAsia="宋体" w:cs="Times New Roman"/>
          <w:b/>
          <w:bCs/>
          <w:sz w:val="32"/>
          <w:highlight w:val="none"/>
          <w:u w:val="single"/>
          <w:lang w:val="en-US" w:eastAsia="zh-CN"/>
        </w:rPr>
        <w:t xml:space="preserve">   </w:t>
      </w:r>
    </w:p>
    <w:p w14:paraId="2413242B">
      <w:pPr>
        <w:jc w:val="center"/>
        <w:rPr>
          <w:rFonts w:hint="eastAsia" w:ascii="Times New Roman" w:hAnsi="Times New Roman" w:eastAsia="宋体" w:cs="Times New Roman"/>
          <w:b/>
          <w:bCs/>
          <w:sz w:val="32"/>
          <w:highlight w:val="none"/>
          <w:lang w:val="de-DE" w:eastAsia="zh-CN"/>
        </w:rPr>
      </w:pPr>
    </w:p>
    <w:p w14:paraId="1320BF6D">
      <w:pPr>
        <w:jc w:val="center"/>
        <w:rPr>
          <w:rFonts w:hint="eastAsia" w:ascii="Times New Roman" w:hAnsi="Times New Roman" w:eastAsia="宋体" w:cs="Times New Roman"/>
          <w:b/>
          <w:bCs/>
          <w:sz w:val="32"/>
          <w:highlight w:val="none"/>
          <w:lang w:val="de-DE" w:eastAsia="zh-CN"/>
        </w:rPr>
      </w:pPr>
      <w:r>
        <w:rPr>
          <w:rFonts w:hint="eastAsia" w:ascii="Times New Roman" w:hAnsi="Times New Roman" w:eastAsia="宋体" w:cs="Times New Roman"/>
          <w:b/>
          <w:bCs/>
          <w:sz w:val="32"/>
          <w:highlight w:val="none"/>
          <w:lang w:val="de-DE" w:eastAsia="zh-CN"/>
        </w:rPr>
        <w:t>娄底职业技术学院</w:t>
      </w:r>
    </w:p>
    <w:p w14:paraId="48ED7868">
      <w:pPr>
        <w:jc w:val="center"/>
        <w:rPr>
          <w:rFonts w:ascii="Times New Roman" w:hAnsi="Times New Roman" w:eastAsia="宋体" w:cs="Times New Roman"/>
          <w:b/>
          <w:bCs/>
          <w:sz w:val="32"/>
          <w:highlight w:val="none"/>
          <w:lang w:val="de-DE"/>
        </w:rPr>
      </w:pPr>
      <w:r>
        <w:rPr>
          <w:rFonts w:hint="eastAsia" w:ascii="Times New Roman" w:hAnsi="Times New Roman" w:eastAsia="宋体" w:cs="Times New Roman"/>
          <w:b/>
          <w:bCs/>
          <w:sz w:val="32"/>
          <w:highlight w:val="none"/>
          <w:lang w:val="en-US" w:eastAsia="zh-CN"/>
        </w:rPr>
        <w:t>{year}</w:t>
      </w:r>
      <w:r>
        <w:rPr>
          <w:rFonts w:ascii="Times New Roman" w:hAnsi="Times New Roman" w:eastAsia="宋体" w:cs="Times New Roman"/>
          <w:b/>
          <w:bCs/>
          <w:sz w:val="32"/>
          <w:highlight w:val="none"/>
          <w:lang w:val="de-DE"/>
        </w:rPr>
        <w:t>年</w:t>
      </w:r>
      <w:r>
        <w:rPr>
          <w:rFonts w:hint="eastAsia" w:ascii="Times New Roman" w:hAnsi="Times New Roman" w:eastAsia="宋体" w:cs="Times New Roman"/>
          <w:b/>
          <w:bCs/>
          <w:sz w:val="32"/>
          <w:highlight w:val="none"/>
          <w:lang w:val="en-US" w:eastAsia="zh-CN"/>
        </w:rPr>
        <w:t>{month}</w:t>
      </w:r>
      <w:r>
        <w:rPr>
          <w:rFonts w:ascii="Times New Roman" w:hAnsi="Times New Roman" w:eastAsia="宋体" w:cs="Times New Roman"/>
          <w:b/>
          <w:bCs/>
          <w:sz w:val="32"/>
          <w:highlight w:val="none"/>
          <w:lang w:val="de-DE"/>
        </w:rPr>
        <w:t>月</w:t>
      </w:r>
    </w:p>
    <w:p w14:paraId="1E6B66DD">
      <w:pPr>
        <w:widowControl/>
        <w:jc w:val="left"/>
        <w:rPr>
          <w:rFonts w:ascii="Times New Roman" w:hAnsi="Times New Roman" w:eastAsia="宋体" w:cs="Times New Roman"/>
          <w:b/>
          <w:bCs/>
          <w:sz w:val="32"/>
          <w:lang w:val="de-DE"/>
        </w:rPr>
      </w:pPr>
      <w:r>
        <w:rPr>
          <w:rFonts w:ascii="Times New Roman" w:hAnsi="Times New Roman" w:eastAsia="宋体" w:cs="Times New Roman"/>
          <w:b/>
          <w:bCs/>
          <w:sz w:val="32"/>
          <w:lang w:val="de-DE"/>
        </w:rPr>
        <w:br w:type="page"/>
      </w:r>
    </w:p>
    <w:sdt>
      <w:sdtPr>
        <w:rPr>
          <w:rFonts w:ascii="宋体" w:hAnsi="宋体" w:eastAsia="宋体" w:cstheme="minorBidi"/>
          <w:kern w:val="2"/>
          <w:sz w:val="21"/>
          <w:szCs w:val="22"/>
          <w:lang w:val="en-US" w:eastAsia="zh-CN" w:bidi="ar-SA"/>
          <w14:ligatures w14:val="standardContextual"/>
        </w:rPr>
        <w:id w:val="147472470"/>
        <w15:color w:val="DBDBDB"/>
        <w:docPartObj>
          <w:docPartGallery w:val="Table of Contents"/>
          <w:docPartUnique/>
        </w:docPartObj>
      </w:sdtPr>
      <w:sdtEndPr>
        <w:rPr>
          <w:rFonts w:ascii="Times New Roman" w:hAnsi="Times New Roman" w:eastAsia="宋体" w:cs="Times New Roman"/>
          <w:bCs/>
          <w:kern w:val="2"/>
          <w:sz w:val="21"/>
          <w:szCs w:val="22"/>
          <w:lang w:val="en-US" w:eastAsia="zh-CN" w:bidi="ar-SA"/>
          <w14:ligatures w14:val="standardContextual"/>
        </w:rPr>
      </w:sdtEndPr>
      <w:sdtContent>
        <w:p w14:paraId="6A2EA419">
          <w:pPr>
            <w:spacing w:before="0" w:beforeLines="0" w:after="0" w:afterLines="0" w:line="240" w:lineRule="auto"/>
            <w:ind w:left="0" w:leftChars="0" w:right="0" w:rightChars="0" w:firstLine="0" w:firstLineChars="0"/>
            <w:jc w:val="center"/>
          </w:pPr>
          <w:r>
            <w:rPr>
              <w:rFonts w:ascii="宋体" w:hAnsi="宋体" w:eastAsia="宋体"/>
              <w:sz w:val="21"/>
            </w:rPr>
            <w:t>目录</w:t>
          </w:r>
        </w:p>
        <w:p w14:paraId="1153C6BE">
          <w:pPr>
            <w:pStyle w:val="9"/>
            <w:tabs>
              <w:tab w:val="right" w:leader="dot" w:pos="8306"/>
            </w:tabs>
          </w:pPr>
          <w:r>
            <w:rPr>
              <w:rFonts w:ascii="Times New Roman" w:hAnsi="Times New Roman" w:eastAsia="宋体" w:cs="Times New Roman"/>
              <w:b/>
              <w:bCs/>
              <w:sz w:val="32"/>
            </w:rPr>
            <w:fldChar w:fldCharType="begin"/>
          </w:r>
          <w:r>
            <w:rPr>
              <w:rFonts w:ascii="Times New Roman" w:hAnsi="Times New Roman" w:eastAsia="宋体" w:cs="Times New Roman"/>
              <w:b/>
              <w:bCs/>
              <w:sz w:val="32"/>
            </w:rPr>
            <w:instrText xml:space="preserve">TOC \o "1-3" \h \u </w:instrText>
          </w:r>
          <w:r>
            <w:rPr>
              <w:rFonts w:ascii="Times New Roman" w:hAnsi="Times New Roman" w:eastAsia="宋体" w:cs="Times New Roman"/>
              <w:b/>
              <w:bCs/>
              <w:sz w:val="32"/>
            </w:rPr>
            <w:fldChar w:fldCharType="separate"/>
          </w: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_Toc21768 </w:instrText>
          </w:r>
          <w:r>
            <w:rPr>
              <w:rFonts w:ascii="Times New Roman" w:hAnsi="Times New Roman" w:eastAsia="宋体" w:cs="Times New Roman"/>
              <w:bCs/>
            </w:rPr>
            <w:fldChar w:fldCharType="separate"/>
          </w:r>
          <w:r>
            <w:rPr>
              <w:rFonts w:hint="eastAsia" w:ascii="Times New Roman" w:hAnsi="Times New Roman" w:eastAsia="宋体" w:cs="Times New Roman"/>
              <w:bCs/>
              <w:szCs w:val="36"/>
              <w:lang w:val="de-DE" w:eastAsia="zh-CN"/>
            </w:rPr>
            <w:t>牛的胚胎移植虚拟仿真实训实验</w:t>
          </w:r>
          <w:r>
            <w:rPr>
              <w:rFonts w:ascii="Times New Roman" w:hAnsi="Times New Roman" w:eastAsia="宋体" w:cs="Times New Roman"/>
              <w:bCs/>
              <w:szCs w:val="36"/>
              <w:lang w:val="de-DE"/>
            </w:rPr>
            <w:t>课程报告</w:t>
          </w:r>
          <w:r>
            <w:tab/>
          </w:r>
          <w:r>
            <w:fldChar w:fldCharType="begin"/>
          </w:r>
          <w:r>
            <w:instrText xml:space="preserve"> PAGEREF _Toc21768 \h </w:instrText>
          </w:r>
          <w:r>
            <w:fldChar w:fldCharType="separate"/>
          </w:r>
          <w:r>
            <w:t>1</w:t>
          </w:r>
          <w:r>
            <w:fldChar w:fldCharType="end"/>
          </w:r>
          <w:r>
            <w:rPr>
              <w:rFonts w:ascii="Times New Roman" w:hAnsi="Times New Roman" w:eastAsia="宋体" w:cs="Times New Roman"/>
              <w:bCs/>
            </w:rPr>
            <w:fldChar w:fldCharType="end"/>
          </w:r>
        </w:p>
        <w:p w14:paraId="1AD2DD31">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_Toc26711 </w:instrText>
          </w:r>
          <w:r>
            <w:rPr>
              <w:rFonts w:ascii="Times New Roman" w:hAnsi="Times New Roman" w:eastAsia="宋体" w:cs="Times New Roman"/>
              <w:bCs/>
            </w:rPr>
            <w:fldChar w:fldCharType="separate"/>
          </w:r>
          <w:r>
            <w:rPr>
              <w:lang w:val="de-DE"/>
            </w:rPr>
            <w:t>一、</w:t>
          </w:r>
          <w:r>
            <w:rPr>
              <w:rFonts w:hint="eastAsia"/>
              <w:lang w:val="en-US" w:eastAsia="zh-CN"/>
            </w:rPr>
            <w:t>牛的胚胎移植虚拟仿真实训项目目的</w:t>
          </w:r>
          <w:r>
            <w:tab/>
          </w:r>
          <w:r>
            <w:fldChar w:fldCharType="begin"/>
          </w:r>
          <w:r>
            <w:instrText xml:space="preserve"> PAGEREF _Toc26711 \h </w:instrText>
          </w:r>
          <w:r>
            <w:fldChar w:fldCharType="separate"/>
          </w:r>
          <w:r>
            <w:t>3</w:t>
          </w:r>
          <w:r>
            <w:fldChar w:fldCharType="end"/>
          </w:r>
          <w:r>
            <w:rPr>
              <w:rFonts w:ascii="Times New Roman" w:hAnsi="Times New Roman" w:eastAsia="宋体" w:cs="Times New Roman"/>
              <w:bCs/>
            </w:rPr>
            <w:fldChar w:fldCharType="end"/>
          </w:r>
        </w:p>
        <w:p w14:paraId="1F3BD27C">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_Toc27827 </w:instrText>
          </w:r>
          <w:r>
            <w:rPr>
              <w:rFonts w:ascii="Times New Roman" w:hAnsi="Times New Roman" w:eastAsia="宋体" w:cs="Times New Roman"/>
              <w:bCs/>
            </w:rPr>
            <w:fldChar w:fldCharType="separate"/>
          </w:r>
          <w:r>
            <w:rPr>
              <w:lang w:val="de-DE"/>
            </w:rPr>
            <w:t>二、课程设计的基本内容和</w:t>
          </w:r>
          <w:r>
            <w:rPr>
              <w:rFonts w:hint="eastAsia"/>
              <w:lang w:val="en-US" w:eastAsia="zh-CN"/>
            </w:rPr>
            <w:t>规则</w:t>
          </w:r>
          <w:r>
            <w:tab/>
          </w:r>
          <w:r>
            <w:fldChar w:fldCharType="begin"/>
          </w:r>
          <w:r>
            <w:instrText xml:space="preserve"> PAGEREF _Toc27827 \h </w:instrText>
          </w:r>
          <w:r>
            <w:fldChar w:fldCharType="separate"/>
          </w:r>
          <w:r>
            <w:t>3</w:t>
          </w:r>
          <w:r>
            <w:fldChar w:fldCharType="end"/>
          </w:r>
          <w:r>
            <w:rPr>
              <w:rFonts w:ascii="Times New Roman" w:hAnsi="Times New Roman" w:eastAsia="宋体" w:cs="Times New Roman"/>
              <w:bCs/>
            </w:rPr>
            <w:fldChar w:fldCharType="end"/>
          </w:r>
        </w:p>
        <w:p w14:paraId="1943C19C">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_Toc6903 </w:instrText>
          </w:r>
          <w:r>
            <w:rPr>
              <w:rFonts w:ascii="Times New Roman" w:hAnsi="Times New Roman" w:eastAsia="宋体" w:cs="Times New Roman"/>
              <w:bCs/>
            </w:rPr>
            <w:fldChar w:fldCharType="separate"/>
          </w:r>
          <w:r>
            <w:rPr>
              <w:rFonts w:hint="default"/>
              <w:lang w:val="en-US" w:eastAsia="zh-CN"/>
            </w:rPr>
            <w:t xml:space="preserve">1. </w:t>
          </w:r>
          <w:r>
            <w:rPr>
              <w:rFonts w:hint="eastAsia"/>
              <w:lang w:val="en-US" w:eastAsia="zh-CN"/>
            </w:rPr>
            <w:t>实验任务</w:t>
          </w:r>
          <w:r>
            <w:tab/>
          </w:r>
          <w:r>
            <w:fldChar w:fldCharType="begin"/>
          </w:r>
          <w:r>
            <w:instrText xml:space="preserve"> PAGEREF _Toc6903 \h </w:instrText>
          </w:r>
          <w:r>
            <w:fldChar w:fldCharType="separate"/>
          </w:r>
          <w:r>
            <w:t>3</w:t>
          </w:r>
          <w:r>
            <w:fldChar w:fldCharType="end"/>
          </w:r>
          <w:r>
            <w:rPr>
              <w:rFonts w:ascii="Times New Roman" w:hAnsi="Times New Roman" w:eastAsia="宋体" w:cs="Times New Roman"/>
              <w:bCs/>
            </w:rPr>
            <w:fldChar w:fldCharType="end"/>
          </w:r>
        </w:p>
        <w:p w14:paraId="2958E443">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_Toc15251 </w:instrText>
          </w:r>
          <w:r>
            <w:rPr>
              <w:rFonts w:ascii="Times New Roman" w:hAnsi="Times New Roman" w:eastAsia="宋体" w:cs="Times New Roman"/>
              <w:bCs/>
            </w:rPr>
            <w:fldChar w:fldCharType="separate"/>
          </w:r>
          <w:r>
            <w:rPr>
              <w:rFonts w:hint="default"/>
              <w:lang w:val="en-US" w:eastAsia="zh-CN"/>
            </w:rPr>
            <w:t xml:space="preserve">2. </w:t>
          </w:r>
          <w:r>
            <w:rPr>
              <w:rFonts w:hint="eastAsia"/>
              <w:lang w:val="en-US" w:eastAsia="zh-CN"/>
            </w:rPr>
            <w:t>教学模式</w:t>
          </w:r>
          <w:r>
            <w:tab/>
          </w:r>
          <w:r>
            <w:fldChar w:fldCharType="begin"/>
          </w:r>
          <w:r>
            <w:instrText xml:space="preserve"> PAGEREF _Toc15251 \h </w:instrText>
          </w:r>
          <w:r>
            <w:fldChar w:fldCharType="separate"/>
          </w:r>
          <w:r>
            <w:t>3</w:t>
          </w:r>
          <w:r>
            <w:fldChar w:fldCharType="end"/>
          </w:r>
          <w:r>
            <w:rPr>
              <w:rFonts w:ascii="Times New Roman" w:hAnsi="Times New Roman" w:eastAsia="宋体" w:cs="Times New Roman"/>
              <w:bCs/>
            </w:rPr>
            <w:fldChar w:fldCharType="end"/>
          </w:r>
        </w:p>
        <w:p w14:paraId="52C47FDF">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_Toc32572 </w:instrText>
          </w:r>
          <w:r>
            <w:rPr>
              <w:rFonts w:ascii="Times New Roman" w:hAnsi="Times New Roman" w:eastAsia="宋体" w:cs="Times New Roman"/>
              <w:bCs/>
            </w:rPr>
            <w:fldChar w:fldCharType="separate"/>
          </w:r>
          <w:r>
            <w:rPr>
              <w:rFonts w:hint="default"/>
              <w:lang w:val="en-US" w:eastAsia="zh-CN"/>
            </w:rPr>
            <w:t xml:space="preserve">3. </w:t>
          </w:r>
          <w:r>
            <w:rPr>
              <w:rFonts w:hint="eastAsia"/>
              <w:lang w:val="en-US" w:eastAsia="zh-CN"/>
            </w:rPr>
            <w:t>实训考核</w:t>
          </w:r>
          <w:r>
            <w:tab/>
          </w:r>
          <w:r>
            <w:fldChar w:fldCharType="begin"/>
          </w:r>
          <w:r>
            <w:instrText xml:space="preserve"> PAGEREF _Toc32572 \h </w:instrText>
          </w:r>
          <w:r>
            <w:fldChar w:fldCharType="separate"/>
          </w:r>
          <w:r>
            <w:t>13</w:t>
          </w:r>
          <w:r>
            <w:fldChar w:fldCharType="end"/>
          </w:r>
          <w:r>
            <w:rPr>
              <w:rFonts w:ascii="Times New Roman" w:hAnsi="Times New Roman" w:eastAsia="宋体" w:cs="Times New Roman"/>
              <w:bCs/>
            </w:rPr>
            <w:fldChar w:fldCharType="end"/>
          </w:r>
        </w:p>
        <w:p w14:paraId="7EE36C5A">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_Toc3255 </w:instrText>
          </w:r>
          <w:r>
            <w:rPr>
              <w:rFonts w:ascii="Times New Roman" w:hAnsi="Times New Roman" w:eastAsia="宋体" w:cs="Times New Roman"/>
              <w:bCs/>
            </w:rPr>
            <w:fldChar w:fldCharType="separate"/>
          </w:r>
          <w:r>
            <w:rPr>
              <w:rFonts w:hint="eastAsia"/>
              <w:lang w:val="en-US" w:eastAsia="zh-CN"/>
            </w:rPr>
            <w:t>三、 实验过程记录及实验结论</w:t>
          </w:r>
          <w:r>
            <w:tab/>
          </w:r>
          <w:r>
            <w:fldChar w:fldCharType="begin"/>
          </w:r>
          <w:r>
            <w:instrText xml:space="preserve"> PAGEREF _Toc3255 \h </w:instrText>
          </w:r>
          <w:r>
            <w:fldChar w:fldCharType="separate"/>
          </w:r>
          <w:r>
            <w:t>18</w:t>
          </w:r>
          <w:r>
            <w:fldChar w:fldCharType="end"/>
          </w:r>
          <w:r>
            <w:rPr>
              <w:rFonts w:ascii="Times New Roman" w:hAnsi="Times New Roman" w:eastAsia="宋体" w:cs="Times New Roman"/>
              <w:bCs/>
            </w:rPr>
            <w:fldChar w:fldCharType="end"/>
          </w:r>
        </w:p>
        <w:p w14:paraId="41A6CF57">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_Toc16401 </w:instrText>
          </w:r>
          <w:r>
            <w:rPr>
              <w:rFonts w:ascii="Times New Roman" w:hAnsi="Times New Roman" w:eastAsia="宋体" w:cs="Times New Roman"/>
              <w:bCs/>
            </w:rPr>
            <w:fldChar w:fldCharType="separate"/>
          </w:r>
          <w:r>
            <w:rPr>
              <w:rFonts w:hint="default"/>
            </w:rPr>
            <w:t xml:space="preserve">1. </w:t>
          </w:r>
          <w:r>
            <w:rPr>
              <w:rFonts w:hint="eastAsia"/>
              <w:lang w:val="en-US" w:eastAsia="zh-CN"/>
            </w:rPr>
            <w:t>实训考核成绩</w:t>
          </w:r>
          <w:r>
            <w:tab/>
          </w:r>
          <w:r>
            <w:fldChar w:fldCharType="begin"/>
          </w:r>
          <w:r>
            <w:instrText xml:space="preserve"> PAGEREF _Toc16401 \h </w:instrText>
          </w:r>
          <w:r>
            <w:fldChar w:fldCharType="separate"/>
          </w:r>
          <w:r>
            <w:t>18</w:t>
          </w:r>
          <w:r>
            <w:fldChar w:fldCharType="end"/>
          </w:r>
          <w:r>
            <w:rPr>
              <w:rFonts w:ascii="Times New Roman" w:hAnsi="Times New Roman" w:eastAsia="宋体" w:cs="Times New Roman"/>
              <w:bCs/>
            </w:rPr>
            <w:fldChar w:fldCharType="end"/>
          </w:r>
        </w:p>
        <w:p w14:paraId="27557CCC">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_Toc8982 </w:instrText>
          </w:r>
          <w:r>
            <w:rPr>
              <w:rFonts w:ascii="Times New Roman" w:hAnsi="Times New Roman" w:eastAsia="宋体" w:cs="Times New Roman"/>
              <w:bCs/>
            </w:rPr>
            <w:fldChar w:fldCharType="separate"/>
          </w:r>
          <w:r>
            <w:rPr>
              <w:rFonts w:hint="eastAsia"/>
              <w:lang w:val="en-US" w:eastAsia="zh-CN"/>
            </w:rPr>
            <w:t xml:space="preserve">四、 </w:t>
          </w:r>
          <w:r>
            <w:rPr>
              <w:rFonts w:hint="default"/>
              <w:lang w:val="en-US" w:eastAsia="zh-CN"/>
            </w:rPr>
            <w:t>讨论与分析</w:t>
          </w:r>
          <w:r>
            <w:tab/>
          </w:r>
          <w:r>
            <w:fldChar w:fldCharType="begin"/>
          </w:r>
          <w:r>
            <w:instrText xml:space="preserve"> PAGEREF _Toc8982 \h </w:instrText>
          </w:r>
          <w:r>
            <w:fldChar w:fldCharType="separate"/>
          </w:r>
          <w:r>
            <w:t>27</w:t>
          </w:r>
          <w:r>
            <w:fldChar w:fldCharType="end"/>
          </w:r>
          <w:r>
            <w:rPr>
              <w:rFonts w:ascii="Times New Roman" w:hAnsi="Times New Roman" w:eastAsia="宋体" w:cs="Times New Roman"/>
              <w:bCs/>
            </w:rPr>
            <w:fldChar w:fldCharType="end"/>
          </w:r>
        </w:p>
        <w:p w14:paraId="64EEED69">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_Toc4476 </w:instrText>
          </w:r>
          <w:r>
            <w:rPr>
              <w:rFonts w:ascii="Times New Roman" w:hAnsi="Times New Roman" w:eastAsia="宋体" w:cs="Times New Roman"/>
              <w:bCs/>
            </w:rPr>
            <w:fldChar w:fldCharType="separate"/>
          </w:r>
          <w:r>
            <w:rPr>
              <w:rFonts w:hint="eastAsia"/>
              <w:lang w:val="en-US" w:eastAsia="zh-CN"/>
            </w:rPr>
            <w:t xml:space="preserve">五、 </w:t>
          </w:r>
          <w:r>
            <w:rPr>
              <w:rFonts w:hint="default"/>
              <w:lang w:val="en-US" w:eastAsia="zh-CN"/>
            </w:rPr>
            <w:t>结论</w:t>
          </w:r>
          <w:r>
            <w:tab/>
          </w:r>
          <w:r>
            <w:fldChar w:fldCharType="begin"/>
          </w:r>
          <w:r>
            <w:instrText xml:space="preserve"> PAGEREF _Toc4476 \h </w:instrText>
          </w:r>
          <w:r>
            <w:fldChar w:fldCharType="separate"/>
          </w:r>
          <w:r>
            <w:t>27</w:t>
          </w:r>
          <w:r>
            <w:fldChar w:fldCharType="end"/>
          </w:r>
          <w:r>
            <w:rPr>
              <w:rFonts w:ascii="Times New Roman" w:hAnsi="Times New Roman" w:eastAsia="宋体" w:cs="Times New Roman"/>
              <w:bCs/>
            </w:rPr>
            <w:fldChar w:fldCharType="end"/>
          </w:r>
        </w:p>
        <w:p w14:paraId="5524A052">
          <w:pPr>
            <w:ind w:firstLine="3210"/>
            <w:rPr>
              <w:rFonts w:ascii="Times New Roman" w:hAnsi="Times New Roman" w:eastAsia="宋体" w:cs="Times New Roman"/>
              <w:b/>
              <w:bCs/>
              <w:sz w:val="32"/>
            </w:rPr>
          </w:pPr>
          <w:r>
            <w:rPr>
              <w:rFonts w:ascii="Times New Roman" w:hAnsi="Times New Roman" w:eastAsia="宋体" w:cs="Times New Roman"/>
              <w:bCs/>
            </w:rPr>
            <w:fldChar w:fldCharType="end"/>
          </w:r>
        </w:p>
      </w:sdtContent>
    </w:sdt>
    <w:p w14:paraId="1358B45B">
      <w:pPr>
        <w:widowControl/>
        <w:jc w:val="both"/>
        <w:rPr>
          <w:rFonts w:ascii="Times New Roman" w:hAnsi="Times New Roman" w:eastAsia="宋体" w:cs="Times New Roman"/>
        </w:rPr>
      </w:pPr>
    </w:p>
    <w:p w14:paraId="3CE3E05C">
      <w:pPr>
        <w:widowControl/>
        <w:jc w:val="both"/>
        <w:rPr>
          <w:rFonts w:ascii="Times New Roman" w:hAnsi="Times New Roman" w:eastAsia="宋体" w:cs="Times New Roman"/>
        </w:rPr>
      </w:pPr>
    </w:p>
    <w:p w14:paraId="1CEBAAFD">
      <w:pPr>
        <w:widowControl/>
        <w:jc w:val="both"/>
        <w:rPr>
          <w:rFonts w:ascii="Times New Roman" w:hAnsi="Times New Roman" w:eastAsia="宋体" w:cs="Times New Roman"/>
        </w:rPr>
      </w:pPr>
    </w:p>
    <w:p w14:paraId="62A57BF1">
      <w:pPr>
        <w:widowControl/>
        <w:jc w:val="both"/>
        <w:rPr>
          <w:rFonts w:ascii="Times New Roman" w:hAnsi="Times New Roman" w:eastAsia="宋体" w:cs="Times New Roman"/>
        </w:rPr>
      </w:pPr>
    </w:p>
    <w:p w14:paraId="3180C2DF">
      <w:pPr>
        <w:widowControl/>
        <w:jc w:val="both"/>
        <w:rPr>
          <w:rFonts w:ascii="Times New Roman" w:hAnsi="Times New Roman" w:eastAsia="宋体" w:cs="Times New Roman"/>
        </w:rPr>
      </w:pPr>
    </w:p>
    <w:p w14:paraId="38F96A6C">
      <w:pPr>
        <w:widowControl/>
        <w:jc w:val="both"/>
        <w:rPr>
          <w:rFonts w:ascii="Times New Roman" w:hAnsi="Times New Roman" w:eastAsia="宋体" w:cs="Times New Roman"/>
        </w:rPr>
      </w:pPr>
    </w:p>
    <w:p w14:paraId="4FA7D8F7">
      <w:pPr>
        <w:widowControl/>
        <w:jc w:val="both"/>
        <w:rPr>
          <w:rFonts w:ascii="Times New Roman" w:hAnsi="Times New Roman" w:eastAsia="宋体" w:cs="Times New Roman"/>
        </w:rPr>
      </w:pPr>
    </w:p>
    <w:p w14:paraId="0E4C471C">
      <w:pPr>
        <w:widowControl/>
        <w:jc w:val="both"/>
        <w:rPr>
          <w:rFonts w:ascii="Times New Roman" w:hAnsi="Times New Roman" w:eastAsia="宋体" w:cs="Times New Roman"/>
        </w:rPr>
      </w:pPr>
    </w:p>
    <w:p w14:paraId="684CF3C2">
      <w:pPr>
        <w:widowControl/>
        <w:jc w:val="both"/>
        <w:rPr>
          <w:rFonts w:ascii="Times New Roman" w:hAnsi="Times New Roman" w:eastAsia="宋体" w:cs="Times New Roman"/>
        </w:rPr>
      </w:pPr>
    </w:p>
    <w:p w14:paraId="14C1CC3A">
      <w:pPr>
        <w:widowControl/>
        <w:jc w:val="both"/>
        <w:rPr>
          <w:rFonts w:ascii="Times New Roman" w:hAnsi="Times New Roman" w:eastAsia="宋体" w:cs="Times New Roman"/>
        </w:rPr>
      </w:pPr>
    </w:p>
    <w:p w14:paraId="497C9F0B">
      <w:pPr>
        <w:widowControl/>
        <w:jc w:val="both"/>
        <w:rPr>
          <w:rFonts w:ascii="Times New Roman" w:hAnsi="Times New Roman" w:eastAsia="宋体" w:cs="Times New Roman"/>
        </w:rPr>
      </w:pPr>
    </w:p>
    <w:p w14:paraId="1708B47D">
      <w:pPr>
        <w:widowControl/>
        <w:jc w:val="both"/>
        <w:rPr>
          <w:rFonts w:ascii="Times New Roman" w:hAnsi="Times New Roman" w:eastAsia="宋体" w:cs="Times New Roman"/>
        </w:rPr>
      </w:pPr>
    </w:p>
    <w:p w14:paraId="11AB7CE9">
      <w:pPr>
        <w:widowControl/>
        <w:jc w:val="both"/>
        <w:rPr>
          <w:rFonts w:ascii="Times New Roman" w:hAnsi="Times New Roman" w:eastAsia="宋体" w:cs="Times New Roman"/>
        </w:rPr>
      </w:pPr>
    </w:p>
    <w:p w14:paraId="414C7585">
      <w:pPr>
        <w:widowControl/>
        <w:jc w:val="both"/>
        <w:rPr>
          <w:rFonts w:ascii="Times New Roman" w:hAnsi="Times New Roman" w:eastAsia="宋体" w:cs="Times New Roman"/>
        </w:rPr>
      </w:pPr>
    </w:p>
    <w:p w14:paraId="5B4F0AEC">
      <w:pPr>
        <w:widowControl/>
        <w:jc w:val="both"/>
        <w:rPr>
          <w:rFonts w:ascii="Times New Roman" w:hAnsi="Times New Roman" w:eastAsia="宋体" w:cs="Times New Roman"/>
        </w:rPr>
      </w:pPr>
    </w:p>
    <w:p w14:paraId="07BA2478">
      <w:pPr>
        <w:widowControl/>
        <w:jc w:val="both"/>
        <w:rPr>
          <w:rFonts w:ascii="Times New Roman" w:hAnsi="Times New Roman" w:eastAsia="宋体" w:cs="Times New Roman"/>
        </w:rPr>
      </w:pPr>
    </w:p>
    <w:p w14:paraId="71518287">
      <w:pPr>
        <w:widowControl/>
        <w:jc w:val="both"/>
        <w:rPr>
          <w:rFonts w:ascii="Times New Roman" w:hAnsi="Times New Roman" w:eastAsia="宋体" w:cs="Times New Roman"/>
        </w:rPr>
      </w:pPr>
    </w:p>
    <w:p w14:paraId="33AE9844">
      <w:pPr>
        <w:widowControl/>
        <w:jc w:val="both"/>
        <w:rPr>
          <w:rFonts w:ascii="Times New Roman" w:hAnsi="Times New Roman" w:eastAsia="宋体" w:cs="Times New Roman"/>
        </w:rPr>
      </w:pPr>
    </w:p>
    <w:p w14:paraId="036C37CD">
      <w:pPr>
        <w:widowControl/>
        <w:jc w:val="both"/>
        <w:rPr>
          <w:rFonts w:ascii="Times New Roman" w:hAnsi="Times New Roman" w:eastAsia="宋体" w:cs="Times New Roman"/>
        </w:rPr>
      </w:pPr>
    </w:p>
    <w:p w14:paraId="7E0C098A">
      <w:pPr>
        <w:widowControl/>
        <w:jc w:val="both"/>
        <w:rPr>
          <w:rFonts w:ascii="Times New Roman" w:hAnsi="Times New Roman" w:eastAsia="宋体" w:cs="Times New Roman"/>
        </w:rPr>
      </w:pPr>
    </w:p>
    <w:p w14:paraId="6ED150AC">
      <w:pPr>
        <w:widowControl/>
        <w:jc w:val="both"/>
        <w:rPr>
          <w:rFonts w:ascii="Times New Roman" w:hAnsi="Times New Roman" w:eastAsia="宋体" w:cs="Times New Roman"/>
        </w:rPr>
      </w:pPr>
    </w:p>
    <w:p w14:paraId="1EF48D53">
      <w:pPr>
        <w:widowControl/>
        <w:jc w:val="both"/>
        <w:rPr>
          <w:rFonts w:ascii="Times New Roman" w:hAnsi="Times New Roman" w:eastAsia="宋体" w:cs="Times New Roman"/>
        </w:rPr>
      </w:pPr>
    </w:p>
    <w:p w14:paraId="08F33ED7">
      <w:pPr>
        <w:widowControl/>
        <w:jc w:val="both"/>
        <w:rPr>
          <w:rFonts w:ascii="Times New Roman" w:hAnsi="Times New Roman" w:eastAsia="宋体" w:cs="Times New Roman"/>
        </w:rPr>
      </w:pPr>
    </w:p>
    <w:p w14:paraId="5DDB4361">
      <w:pPr>
        <w:widowControl/>
        <w:jc w:val="both"/>
        <w:rPr>
          <w:rFonts w:ascii="Times New Roman" w:hAnsi="Times New Roman" w:eastAsia="宋体" w:cs="Times New Roman"/>
        </w:rPr>
      </w:pPr>
    </w:p>
    <w:p w14:paraId="1CC107A7">
      <w:pPr>
        <w:widowControl/>
        <w:jc w:val="both"/>
        <w:rPr>
          <w:rFonts w:ascii="Times New Roman" w:hAnsi="Times New Roman" w:eastAsia="宋体" w:cs="Times New Roman"/>
        </w:rPr>
      </w:pPr>
    </w:p>
    <w:p w14:paraId="04031AB4">
      <w:pPr>
        <w:widowControl/>
        <w:jc w:val="both"/>
        <w:rPr>
          <w:rFonts w:ascii="Times New Roman" w:hAnsi="Times New Roman" w:eastAsia="宋体" w:cs="Times New Roman"/>
        </w:rPr>
      </w:pPr>
    </w:p>
    <w:p w14:paraId="692DBD58">
      <w:pPr>
        <w:widowControl/>
        <w:jc w:val="both"/>
        <w:rPr>
          <w:rFonts w:ascii="Times New Roman" w:hAnsi="Times New Roman" w:eastAsia="宋体" w:cs="Times New Roman"/>
        </w:rPr>
      </w:pPr>
    </w:p>
    <w:p w14:paraId="132F2266">
      <w:pPr>
        <w:pStyle w:val="2"/>
        <w:bidi w:val="0"/>
        <w:rPr>
          <w:lang w:val="de-DE"/>
        </w:rPr>
      </w:pPr>
      <w:bookmarkStart w:id="2" w:name="_Toc156312770"/>
      <w:bookmarkStart w:id="3" w:name="_Toc26711"/>
      <w:r>
        <w:rPr>
          <w:lang w:val="de-DE"/>
        </w:rPr>
        <w:t>一、</w:t>
      </w:r>
      <w:bookmarkEnd w:id="2"/>
      <w:r>
        <w:rPr>
          <w:rFonts w:hint="eastAsia"/>
          <w:lang w:val="en-US" w:eastAsia="zh-CN"/>
        </w:rPr>
        <w:t>牛的胚胎移植虚拟仿真实训项目目的</w:t>
      </w:r>
      <w:bookmarkEnd w:id="3"/>
    </w:p>
    <w:p w14:paraId="32051BD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ascii="Times New Roman" w:hAnsi="Times New Roman" w:eastAsia="宋体" w:cs="Times New Roman"/>
          <w:lang w:val="de-DE"/>
        </w:rPr>
      </w:pPr>
      <w:bookmarkStart w:id="4" w:name="_Toc156312771"/>
      <w:r>
        <w:rPr>
          <w:rFonts w:hint="eastAsia" w:ascii="Times New Roman" w:hAnsi="Times New Roman" w:eastAsia="宋体" w:cs="Times New Roman"/>
          <w:lang w:val="de-DE" w:eastAsia="zh-CN"/>
        </w:rPr>
        <w:t>牛的胚胎移植虚拟仿真实训</w:t>
      </w:r>
      <w:r>
        <w:rPr>
          <w:rFonts w:hint="eastAsia" w:ascii="Times New Roman" w:hAnsi="Times New Roman" w:eastAsia="宋体" w:cs="Times New Roman"/>
          <w:lang w:val="en-US" w:eastAsia="zh-CN"/>
        </w:rPr>
        <w:t xml:space="preserve">是以牛为对象的“动物繁殖”类课程专业实训。是以典型的工作任务为驱动，以工作流程为主线所进行的内容设计。共分为同期发情处理、超数排卵处理、精子活率检查、人工授精、冲胚、胚胎选择、胚胎移植、妊娠鉴定八个模块。可带领学生由浅入深了解动物繁殖的奥妙，由易及难逐步掌握动物繁殖所需的知识和技能。 </w:t>
      </w:r>
    </w:p>
    <w:p w14:paraId="694AE2AD">
      <w:pPr>
        <w:pStyle w:val="2"/>
        <w:bidi w:val="0"/>
        <w:rPr>
          <w:rFonts w:hint="eastAsia" w:eastAsiaTheme="minorEastAsia"/>
          <w:lang w:val="de-DE" w:eastAsia="zh-CN"/>
        </w:rPr>
      </w:pPr>
      <w:bookmarkStart w:id="5" w:name="_Toc27827"/>
      <w:r>
        <w:rPr>
          <w:lang w:val="de-DE"/>
        </w:rPr>
        <w:t>二、课程设计的基本内容和</w:t>
      </w:r>
      <w:bookmarkEnd w:id="4"/>
      <w:r>
        <w:rPr>
          <w:rFonts w:hint="eastAsia"/>
          <w:lang w:val="en-US" w:eastAsia="zh-CN"/>
        </w:rPr>
        <w:t>规则</w:t>
      </w:r>
      <w:bookmarkEnd w:id="5"/>
    </w:p>
    <w:p w14:paraId="6580986C">
      <w:pPr>
        <w:pStyle w:val="3"/>
        <w:numPr>
          <w:ilvl w:val="0"/>
          <w:numId w:val="1"/>
        </w:numPr>
        <w:bidi w:val="0"/>
        <w:ind w:left="425" w:leftChars="0" w:hanging="425" w:firstLineChars="0"/>
      </w:pPr>
      <w:bookmarkStart w:id="6" w:name="_Toc6903"/>
      <w:bookmarkStart w:id="7" w:name="_Toc156312772"/>
      <w:r>
        <w:rPr>
          <w:rFonts w:hint="eastAsia"/>
          <w:lang w:val="en-US" w:eastAsia="zh-CN"/>
        </w:rPr>
        <w:t>实验任务</w:t>
      </w:r>
      <w:bookmarkEnd w:id="6"/>
      <w:r>
        <w:rPr>
          <w:rFonts w:hint="eastAsia"/>
          <w:lang w:val="en-US" w:eastAsia="zh-CN"/>
        </w:rPr>
        <w:t xml:space="preserve"> </w:t>
      </w:r>
    </w:p>
    <w:p w14:paraId="00EA7383">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牛的同期发情处理</w:t>
      </w:r>
    </w:p>
    <w:p w14:paraId="0CD2DD3F">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牛的超数排卵处理</w:t>
      </w:r>
    </w:p>
    <w:p w14:paraId="1DF9CD28">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精子活率检查</w:t>
      </w:r>
    </w:p>
    <w:p w14:paraId="4B1C3AFB">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牛的人工授精</w:t>
      </w:r>
    </w:p>
    <w:p w14:paraId="50B4C903">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牛的冲胚</w:t>
      </w:r>
    </w:p>
    <w:p w14:paraId="792A8921">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胚胎选择</w:t>
      </w:r>
    </w:p>
    <w:p w14:paraId="7918CC23">
      <w:pPr>
        <w:keepNext w:val="0"/>
        <w:keepLines w:val="0"/>
        <w:widowControl/>
        <w:numPr>
          <w:ilvl w:val="0"/>
          <w:numId w:val="2"/>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胚胎移植</w:t>
      </w:r>
    </w:p>
    <w:p w14:paraId="51CB948E">
      <w:pPr>
        <w:keepNext w:val="0"/>
        <w:keepLines w:val="0"/>
        <w:widowControl/>
        <w:numPr>
          <w:ilvl w:val="0"/>
          <w:numId w:val="2"/>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 xml:space="preserve">妊娠鉴定 </w:t>
      </w:r>
    </w:p>
    <w:p w14:paraId="6A647620">
      <w:pPr>
        <w:pStyle w:val="3"/>
        <w:numPr>
          <w:ilvl w:val="0"/>
          <w:numId w:val="1"/>
        </w:numPr>
        <w:bidi w:val="0"/>
        <w:ind w:left="425" w:leftChars="0" w:hanging="425" w:firstLineChars="0"/>
        <w:rPr>
          <w:rFonts w:hint="eastAsia"/>
          <w:lang w:val="en-US" w:eastAsia="zh-CN"/>
        </w:rPr>
      </w:pPr>
      <w:bookmarkStart w:id="8" w:name="_Toc15251"/>
      <w:r>
        <w:rPr>
          <w:rFonts w:hint="eastAsia"/>
          <w:lang w:val="en-US" w:eastAsia="zh-CN"/>
        </w:rPr>
        <w:t>教学模式</w:t>
      </w:r>
      <w:bookmarkEnd w:id="8"/>
      <w:r>
        <w:rPr>
          <w:rFonts w:hint="eastAsia"/>
          <w:lang w:val="en-US" w:eastAsia="zh-CN"/>
        </w:rPr>
        <w:t xml:space="preserve"> </w:t>
      </w:r>
    </w:p>
    <w:p w14:paraId="03C0F6FC">
      <w:pPr>
        <w:keepNext w:val="0"/>
        <w:keepLines w:val="0"/>
        <w:widowControl/>
        <w:numPr>
          <w:ilvl w:val="0"/>
          <w:numId w:val="3"/>
        </w:numPr>
        <w:suppressLineNumbers w:val="0"/>
        <w:ind w:left="425" w:leftChars="0" w:hanging="425"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牛的同期发情处理</w:t>
      </w:r>
    </w:p>
    <w:p w14:paraId="28499BB7">
      <w:pPr>
        <w:keepNext w:val="0"/>
        <w:keepLines w:val="0"/>
        <w:widowControl/>
        <w:numPr>
          <w:ilvl w:val="0"/>
          <w:numId w:val="4"/>
        </w:numPr>
        <w:suppressLineNumbers w:val="0"/>
        <w:ind w:left="0" w:leftChars="0" w:firstLine="420" w:firstLineChars="0"/>
        <w:jc w:val="left"/>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2D8F512F">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同期发情介绍</w:t>
      </w:r>
    </w:p>
    <w:p w14:paraId="31E0E7F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同期发情又称同步发情，就是利用某些激素制剂人为地控制并调整一群母畜发情周期的进程，使之在预定时间内集中发情。</w:t>
      </w:r>
    </w:p>
    <w:p w14:paraId="233230C1">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同期发情的意义</w:t>
      </w:r>
    </w:p>
    <w:p w14:paraId="2D5E7217">
      <w:pPr>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推广牛的人工授精。当牛群过于分散或交通不便时，人工授精技术推广往往受到限制。如果在一定时间内使母牛群集中发情，就可以根据预定的日程进行集中定时配种，解决设点难的问题。</w:t>
      </w:r>
    </w:p>
    <w:p w14:paraId="7F4B5BD7">
      <w:pPr>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便于组织肉牛生产。控制母牛同期发情，可使母牛配种、妊娠、分娩及犊牛培育在时间上相对集中，便于肉牛的成批生产，便于饲养管理，节约劳动力和费用，对于工厂化养牛有很大的实用价值。</w:t>
      </w:r>
    </w:p>
    <w:p w14:paraId="092888B6">
      <w:pPr>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提高母牛繁殖率。同期发情不但用于周期性发情的母牛，而且也能使乏情状态的母牛出现性周期活动。例如卵巢静止的母牛经过孕激素处理后，很多表现发情;因持久黄体存在而长期不发情的母牛，用前列腺素处理后，由于黄体消散，生殖机能随之得以恢复。</w:t>
      </w:r>
    </w:p>
    <w:p w14:paraId="242D41EB">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同期发情的机理</w:t>
      </w:r>
    </w:p>
    <w:p w14:paraId="0429499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母牛的发情周期，在卵巢上表现为卵泡期和黄体期两个阶段。相对高的孕激素水平可抑制卵泡发育和发情，黄体期的结束是卵泡期到来的前提条件。因此，同期发情的关键就是控制黄体寿命，并同时终止黄体期。</w:t>
      </w:r>
    </w:p>
    <w:p w14:paraId="7CE91461">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卵泡期是在周期性黄体退化继而血液中孕酮水平显著下降后，卵巢中卵泡迅速生长发育，最后成熟并导致排卵的时期。卵泡期之后，卵泡破裂并发育成黄体，随即进入黄体期，在黄体分泌的孕激素的作用下，卵泡发育成熟受到抑制，母畜不表现发情，在未受精的情况下，黄体维持约15-17天，即行退化，随后进入另一个卵泡期。</w:t>
      </w:r>
    </w:p>
    <w:p w14:paraId="59D5E5D1">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同期发情处理方法</w:t>
      </w:r>
    </w:p>
    <w:p w14:paraId="0D07883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技术有两种方法:一是向母牛群同时施用孕激素，抑制卵泡的发育和发情，经过一定时期同时停药，引起牛群同期发情。这种方法，造成了人为黄体期，推迟了发情期的到来。另一种方法是利用前列腺素使黄体溶解，中断黄体期，从而提前进入卵泡期，使发情提前到来。</w:t>
      </w:r>
    </w:p>
    <w:p w14:paraId="1BD9E5DB">
      <w:pPr>
        <w:keepNext w:val="0"/>
        <w:keepLines w:val="0"/>
        <w:widowControl/>
        <w:numPr>
          <w:ilvl w:val="0"/>
          <w:numId w:val="4"/>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1CE15899">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物品准备：垃圾袋、注射器、阴道栓、长柄钳、氯前列烯醇、消毒纸巾、保定架、润滑剂，下一步</w:t>
      </w:r>
    </w:p>
    <w:p w14:paraId="1D2C5CB3">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6689285F">
      <w:pPr>
        <w:keepNext w:val="0"/>
        <w:keepLines w:val="0"/>
        <w:widowControl/>
        <w:numPr>
          <w:ilvl w:val="0"/>
          <w:numId w:val="4"/>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实际操作：点击“消毒纸巾”点击“阴道栓”点击“阴道口”点击“阴道栓”点击“氯前例烯醇”</w:t>
      </w:r>
    </w:p>
    <w:p w14:paraId="21C5D2F4">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点击“牛颈部”点击“氯前例烯醇”点击“牛颈部”点击“牛颈部”点击“氯前例烯醇”点击“牛颈部”点击“牛颈部”点击“氯前例烯醇”点击“牛颈部”点击“牛颈部”点击“发情母牛”点击“发情母牛”</w:t>
      </w:r>
    </w:p>
    <w:p w14:paraId="34046FA4">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点击“未发情母牛”点击“发情母牛”点击“保定架”点击“润滑剂”点击“卵巢”点击“卵巢”</w:t>
      </w:r>
    </w:p>
    <w:p w14:paraId="4FBC19A9">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点击“卵巢”</w:t>
      </w:r>
    </w:p>
    <w:p w14:paraId="6A6A029E">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牛的超数排卵处理</w:t>
      </w:r>
    </w:p>
    <w:p w14:paraId="00E2E87B">
      <w:pPr>
        <w:keepNext w:val="0"/>
        <w:keepLines w:val="0"/>
        <w:widowControl/>
        <w:numPr>
          <w:ilvl w:val="0"/>
          <w:numId w:val="7"/>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6975AD2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超数排卵介绍</w:t>
      </w:r>
    </w:p>
    <w:p w14:paraId="661DB63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超数排卵简称超排，是指在母牛发情周期中适时为其注射促性腺激素，而促使母牛卵巢比自然状态下有更多的卵泡发育并排出成卵，通过超数排卵可以获得大量成熟的卵子。</w:t>
      </w:r>
    </w:p>
    <w:p w14:paraId="4487AABA">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选择适宜的供体牛</w:t>
      </w:r>
    </w:p>
    <w:p w14:paraId="1A49B9C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选择超排母牛时，应摸清超排牛的生理状态，按要求进行直肠检查，保证超排牛的卵巢、子宫等没有功能性疾病。选择3-6岁的高产牛进行超排。</w:t>
      </w:r>
    </w:p>
    <w:p w14:paraId="186CCA6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选择适宜的超排时间</w:t>
      </w:r>
    </w:p>
    <w:p w14:paraId="0C7E324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排卵季节，最好在秋冬季，选择2-6胎的供体母牛，一般最合适的时期在发情期后的第10-12天</w:t>
      </w:r>
    </w:p>
    <w:p w14:paraId="254EE25B">
      <w:pPr>
        <w:keepNext w:val="0"/>
        <w:keepLines w:val="0"/>
        <w:widowControl/>
        <w:numPr>
          <w:ilvl w:val="0"/>
          <w:numId w:val="7"/>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027A43F7">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物品准备：注射器、FSH、PMSG、阴道栓、长柄钳、PVP、甲基-PGF2a、PGF、消毒纸巾、保定架，下一步</w:t>
      </w:r>
    </w:p>
    <w:p w14:paraId="3EEC889E">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2807AC13">
      <w:pPr>
        <w:keepNext w:val="0"/>
        <w:keepLines w:val="0"/>
        <w:widowControl/>
        <w:numPr>
          <w:ilvl w:val="0"/>
          <w:numId w:val="7"/>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实际操作：点击“促卵泡生长素FSH”点击“牛颈部”点击“促卵泡生长素FSH”点击“牛颈部”</w:t>
      </w:r>
    </w:p>
    <w:p w14:paraId="5646BE7C">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牛颈部”点击“孕马血清促性腺激素(PMSG）”点击“牛颈部”点击“前列腺素F(PGF)”点击“牛颈部”点击“孕马血清促性腺激素(PMSG）”点击“牛颈部”点击“消毒纸巾”点击“阴道栓”点击“阴道口”点击“促卵泡生长素FSH”点击“牛颈部”点击“阴道栓”点击“前列腺素(PG)”点击“牛颈部”</w:t>
      </w:r>
    </w:p>
    <w:p w14:paraId="0AD2E52F">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点击“促卵泡生长素FSH、聚乙烯哔咯烷酮(PVP)”点击“牛颈部”点击“卡波前列腺素(甲基-PGF2a)”点击“牛颈部”</w:t>
      </w:r>
    </w:p>
    <w:p w14:paraId="21BFC93A">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精子活率检查</w:t>
      </w:r>
    </w:p>
    <w:p w14:paraId="64F442AA">
      <w:pPr>
        <w:keepNext w:val="0"/>
        <w:keepLines w:val="0"/>
        <w:widowControl/>
        <w:numPr>
          <w:ilvl w:val="0"/>
          <w:numId w:val="8"/>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7149BB9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精子活率介绍</w:t>
      </w:r>
    </w:p>
    <w:p w14:paraId="53669911">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在显微镜下观察，在一个视野内向直线前进运动的精子占全部精子总数的百分率。精子活力的高低是判定精液品质优劣和精子受精能力的重要指标之一。</w:t>
      </w:r>
    </w:p>
    <w:p w14:paraId="5307E493">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检查环境准备</w:t>
      </w:r>
    </w:p>
    <w:p w14:paraId="5756D6F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检查评定精子活力时，一般要求在38-40℃的温室或保温箱内进行，载玻片和盖玻片应预先加温，显微镜的载物台上也要保持38℃左右的温度。</w:t>
      </w:r>
    </w:p>
    <w:p w14:paraId="7DC8390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检查说明</w:t>
      </w:r>
    </w:p>
    <w:p w14:paraId="6B4306EA">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检查时，要分别观察几个视野，要调节焦距观察上、中、下各层的精子的活动情况，用其平均数来定级。精子活力好的，不仅精子的活率高，而且直线运动的速度也快，如呈旋转和摆动运动的精子多为品质不良。</w:t>
      </w:r>
    </w:p>
    <w:p w14:paraId="5D3C82D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精子活力评级</w:t>
      </w:r>
    </w:p>
    <w:p w14:paraId="3566930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评定精子活力的等级一般用10级制，即在镜下观察直线运动的精子数目，每10%为一个等级，共有10级，即一级为10%，九级为90%，七级以上的精液精子活力高，呈波浪运动，如云雾状，才可用于输精。原精活力低于0.5级，冻精活力低于0.3级的精液，评为不合格或不及格不能用于输精。</w:t>
      </w:r>
    </w:p>
    <w:p w14:paraId="0F8809DB">
      <w:pPr>
        <w:keepNext w:val="0"/>
        <w:keepLines w:val="0"/>
        <w:widowControl/>
        <w:numPr>
          <w:ilvl w:val="0"/>
          <w:numId w:val="8"/>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03D4FDFB">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物品准备：双筒显微镜、载玻片、盖玻片、玻璃棒、恒温载物台、精液样本、生理盐水，下一步</w:t>
      </w:r>
    </w:p>
    <w:p w14:paraId="4C639D2F">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545A933F">
      <w:pPr>
        <w:keepNext w:val="0"/>
        <w:keepLines w:val="0"/>
        <w:widowControl/>
        <w:numPr>
          <w:ilvl w:val="0"/>
          <w:numId w:val="8"/>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w:t>
      </w:r>
      <w:r>
        <w:rPr>
          <w:rFonts w:hint="eastAsia" w:ascii="宋体" w:hAnsi="宋体" w:eastAsia="宋体" w:cs="宋体"/>
          <w:color w:val="000000"/>
          <w:kern w:val="0"/>
          <w:sz w:val="21"/>
          <w:szCs w:val="21"/>
          <w:highlight w:val="none"/>
          <w:lang w:val="en-US" w:eastAsia="zh-CN" w:bidi="ar"/>
          <w14:ligatures w14:val="standardContextual"/>
        </w:rPr>
        <w:t>恒温载物台设备开关</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恒温载物台设备开关</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玻璃棒</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玻璃棒</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玻璃盖片</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显微镜</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载玻片</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载玻片</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样品1</w:t>
      </w:r>
      <w:r>
        <w:rPr>
          <w:rFonts w:hint="eastAsia" w:ascii="Times New Roman" w:hAnsi="Times New Roman" w:eastAsia="宋体" w:cs="Times New Roman"/>
          <w:highlight w:val="none"/>
          <w:lang w:val="en-US" w:eastAsia="zh-CN"/>
        </w:rPr>
        <w:t>”</w:t>
      </w:r>
    </w:p>
    <w:p w14:paraId="134CA1A2">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牛的人工授精</w:t>
      </w:r>
    </w:p>
    <w:p w14:paraId="19F28C57">
      <w:pPr>
        <w:keepNext w:val="0"/>
        <w:keepLines w:val="0"/>
        <w:widowControl/>
        <w:numPr>
          <w:ilvl w:val="0"/>
          <w:numId w:val="9"/>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35A3256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人工授精介绍</w:t>
      </w:r>
    </w:p>
    <w:p w14:paraId="411D48D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母牛人工授精是指通过人工方法将处理及保存后的公牛精液，利用器械将精液注入母牛生殖道内，使其受孕，从而代替自然交配的一种繁殖技术。</w:t>
      </w:r>
    </w:p>
    <w:p w14:paraId="40113ED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人工授精的优点</w:t>
      </w:r>
    </w:p>
    <w:p w14:paraId="14F84AC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提高配种效率:人工授精可以大幅提高优良种公牛的配种效率。自然交配时，一头公牛一次只能使一头母牛受孕，而人工授精技术可以使一次射精的精液用于多头母牛，显著提高了配种效率。2、防止疾病传播:人工授精可以避免公母牛生殖器官的直接接触，从而防止疾病的传播，如阴道滴虫病和传染性阴道炎。</w:t>
      </w:r>
    </w:p>
    <w:p w14:paraId="1EF92E2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3、节省成本:通过购买精液进行人工授精，可以避免饲养种公牛的费用，节省了牧场饲养种公牛的成本。</w:t>
      </w:r>
    </w:p>
    <w:p w14:paraId="76F39B7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4、提高受胎率:通过严格规范的输精方法和时间把控，可以提高母牛的受胎率。</w:t>
      </w:r>
    </w:p>
    <w:p w14:paraId="2FE26D4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配种时间</w:t>
      </w:r>
    </w:p>
    <w:p w14:paraId="2D0E4C0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母牛发情开始约18h后接近发情结束或结束时配种。</w:t>
      </w:r>
    </w:p>
    <w:p w14:paraId="527E6F6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输精次数</w:t>
      </w:r>
    </w:p>
    <w:p w14:paraId="3A79E79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一般情况下，发情母牛只需输精一次即可，但如果输精后8h内母牛仍有明显的发情特征，应在第一次输精后8-10h进行第二次输精。</w:t>
      </w:r>
    </w:p>
    <w:p w14:paraId="4F1F2476">
      <w:pPr>
        <w:keepNext w:val="0"/>
        <w:keepLines w:val="0"/>
        <w:widowControl/>
        <w:numPr>
          <w:ilvl w:val="0"/>
          <w:numId w:val="9"/>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2B391936">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w:t>
      </w:r>
    </w:p>
    <w:p w14:paraId="2E6B9956">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输精枪及外套管、保定架、一次性长臂塑料手套、恒温水浴锅、长柄镊子、细管专用剪、0.3%高锰酸钾,、消毒纸巾、液氮罐</w:t>
      </w:r>
    </w:p>
    <w:p w14:paraId="611896B0">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下一步</w:t>
      </w:r>
    </w:p>
    <w:p w14:paraId="3CFFB7EA">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71A4E9DA">
      <w:pPr>
        <w:keepNext w:val="0"/>
        <w:keepLines w:val="0"/>
        <w:widowControl/>
        <w:numPr>
          <w:ilvl w:val="0"/>
          <w:numId w:val="9"/>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实际操作：点击“保定架”点击“恒温水浴锅”点击“液氮罐盖子”点击“长柄镊子”点击“消毒纸巾”点击“输精枪”点击“冻精细管”点击“细管专用剪”点击“输精枪外套”点击“恒温水浴锅”</w:t>
      </w:r>
    </w:p>
    <w:p w14:paraId="556B931C">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点击“0.3%高锰酸钾”点击“消毒纸巾”点击“润滑剂”点击“宿粪”点击“阴门”点击“输精枪”点击“子宫颈”</w:t>
      </w:r>
      <w:r>
        <w:rPr>
          <w:rFonts w:hint="eastAsia" w:ascii="Times New Roman" w:hAnsi="Times New Roman" w:eastAsia="宋体" w:cs="Times New Roman"/>
          <w:highlight w:val="none"/>
          <w:lang w:val="en-US" w:eastAsia="zh-CN"/>
        </w:rPr>
        <w:tab/>
      </w:r>
      <w:r>
        <w:rPr>
          <w:rFonts w:hint="eastAsia" w:ascii="Times New Roman" w:hAnsi="Times New Roman" w:eastAsia="宋体" w:cs="Times New Roman"/>
          <w:highlight w:val="none"/>
          <w:lang w:val="en-US" w:eastAsia="zh-CN"/>
        </w:rPr>
        <w:t>点击“输精枪”点击“子宫颈”点击“子宫体”点击“输精枪”点击“纸巾”点击“输精枪外套”</w:t>
      </w:r>
    </w:p>
    <w:p w14:paraId="22E3FC03">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牛的冲胚</w:t>
      </w:r>
    </w:p>
    <w:p w14:paraId="02F1A1FB">
      <w:pPr>
        <w:keepNext w:val="0"/>
        <w:keepLines w:val="0"/>
        <w:widowControl/>
        <w:numPr>
          <w:ilvl w:val="0"/>
          <w:numId w:val="10"/>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731ABDD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冲胚时间</w:t>
      </w:r>
    </w:p>
    <w:p w14:paraId="0E8BCC6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在发情配种后的第7天(发情当天为0天)冲胚，也可在第6天或第8天冲胚。</w:t>
      </w:r>
    </w:p>
    <w:p w14:paraId="2EFBBA2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保定与麻醉</w:t>
      </w:r>
    </w:p>
    <w:p w14:paraId="7D89F6E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供体牛按照人工授精的要求进行保定，并用2%的普鲁卡因5-10mL作尾椎硬膜外麻醉。</w:t>
      </w:r>
    </w:p>
    <w:p w14:paraId="772951A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器械和冲胚液的准备</w:t>
      </w:r>
    </w:p>
    <w:p w14:paraId="4276851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所有器械必须严格按无菌要求进行消毒，在清洗的最后一定要用双蒸水冲洗，接触胚胎的器械容器要用冲卵液进行冲洗。冲胚前冲卵液要先预热(水浴锅或热水浸泡)到35-37℃。</w:t>
      </w:r>
    </w:p>
    <w:p w14:paraId="5AAB431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超排效果检查</w:t>
      </w:r>
    </w:p>
    <w:p w14:paraId="1EA6AAE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在冲胚前，通过直肠检查卵巢黄体个数，可判断能冲出的胚胎个数。</w:t>
      </w:r>
    </w:p>
    <w:p w14:paraId="03A06D6A">
      <w:pPr>
        <w:keepNext w:val="0"/>
        <w:keepLines w:val="0"/>
        <w:widowControl/>
        <w:numPr>
          <w:ilvl w:val="0"/>
          <w:numId w:val="10"/>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51E5BC02">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物品准备：保定架、一次性长臂塑料手套、消毒纸巾、扩张棒、冲卵管、注射器、杯子、冲卵液、青霉素、链霉素、氯前列烯醇，下一步</w:t>
      </w:r>
    </w:p>
    <w:p w14:paraId="70DD6509">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75F306C5">
      <w:pPr>
        <w:keepNext w:val="0"/>
        <w:keepLines w:val="0"/>
        <w:widowControl/>
        <w:numPr>
          <w:ilvl w:val="0"/>
          <w:numId w:val="10"/>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保定架”点击“杯子”点击“消毒纸巾”点击“扩张棒”点击“冲卵管”点击“冲卵管”点击“冲卵管”点击“无菌手套”点击“注射器”点击“冲卵液”点击“子宫角”点击“子宫角”点击“冲卵管”点击“注射器”</w:t>
      </w:r>
    </w:p>
    <w:p w14:paraId="0D497DE7">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胚胎选择</w:t>
      </w:r>
    </w:p>
    <w:p w14:paraId="1582D6C3">
      <w:pPr>
        <w:keepNext w:val="0"/>
        <w:keepLines w:val="0"/>
        <w:widowControl/>
        <w:numPr>
          <w:ilvl w:val="0"/>
          <w:numId w:val="11"/>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3794A3D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放大倍数</w:t>
      </w:r>
    </w:p>
    <w:p w14:paraId="588C4253">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胚胎质量鉴定一般在放大60-200倍显微镜下进行，如果受体视显微镜放大倍数的限制，</w:t>
      </w:r>
    </w:p>
    <w:p w14:paraId="401BC7C9">
      <w:pPr>
        <w:keepNext w:val="0"/>
        <w:keepLines w:val="0"/>
        <w:pageBreakBefore w:val="0"/>
        <w:widowControl w:val="0"/>
        <w:kinsoku/>
        <w:wordWrap/>
        <w:overflowPunct/>
        <w:topLinePunct w:val="0"/>
        <w:autoSpaceDE/>
        <w:autoSpaceDN/>
        <w:bidi w:val="0"/>
        <w:adjustRightInd w:val="0"/>
        <w:snapToGrid/>
        <w:spacing w:line="360" w:lineRule="auto"/>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30倍也行。</w:t>
      </w:r>
    </w:p>
    <w:p w14:paraId="76D90EF0">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鉴定依据</w:t>
      </w:r>
    </w:p>
    <w:p w14:paraId="7094C625">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在显微镜下根据胚胎分裂与否、形态色调、分裂球大小、均匀度、细胞的密度、透明带以及变性情况等鉴定。</w:t>
      </w:r>
    </w:p>
    <w:p w14:paraId="2AEB5BE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1.未受精卵。没有分裂球及细胞团的卵子，2.桑葚胚。发情后5-6天冲出的卵，只能观察到球状的细胞团，分不清分裂球。细胞团占据透明带内腔的大部分。</w:t>
      </w:r>
    </w:p>
    <w:p w14:paraId="4528CA0A">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3.致密桑葚胚。发情后第6-7天回收的卵，细胞团变小，占透明带内腔的60%-70%。</w:t>
      </w:r>
    </w:p>
    <w:p w14:paraId="63B91FF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4.早期囊胚。发情后第7-8天冲出的卵，细胞的一部分出现发亮的胚泡腔。细胞团占透明内腔的70%-80%，难以分清内细胞团和滋养层。</w:t>
      </w:r>
    </w:p>
    <w:p w14:paraId="1AD3CF49">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5.囊胚。发情后第7-8天回收的胚胎，内细胞团和滋养层界线清晰，胚泡腔明显，细胞充满透明带内腔。</w:t>
      </w:r>
    </w:p>
    <w:p w14:paraId="410141C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扩张囊胚。发情后第8-9天回收的胚胎，胚泡腔明显扩大，体积增大到原来的1.2-1.5倍，与透明带之间无空隙，透明带变薄，相当于正常厚度的1/3。7.孵育胚。在发情后第9-11天回收的胚胎，由于胚泡腔继续扩张，致使透明带破裂，卵细胞脱出。</w:t>
      </w:r>
    </w:p>
    <w:p w14:paraId="7C94A38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胚胎的分级</w:t>
      </w:r>
    </w:p>
    <w:p w14:paraId="3D3CFA6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冲出的胚胎一般分为A、B、C、D共4级A级:胚胎形态完整，轮廓清晰呈球形，分裂球大小均匀，结构紧凑，色调和透明度适中，无附着的细胞和液泡。</w:t>
      </w:r>
    </w:p>
    <w:p w14:paraId="4B79980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B级:轮廓清晰，色调及细胞密度良好，可见到一些附着的细胞和液泡，C级:轮廓不清，色调发暗，结构较松散，游离的细胞或液体较多，变性的细胞达30%-50%。D级:未受精卵、有碎片的退化卵及变性细胞超过一半的胚胎。A级、B级、C级胚胎为可用胚胎，其中，A级、B级为可冷冻胚胎，C级胚胎只能用于鲜胚移植，D级胚胎为不可用胚胎。</w:t>
      </w:r>
    </w:p>
    <w:p w14:paraId="059AF209">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胚胎图示下一步。</w:t>
      </w:r>
    </w:p>
    <w:p w14:paraId="7D044E12">
      <w:pPr>
        <w:keepNext w:val="0"/>
        <w:keepLines w:val="0"/>
        <w:widowControl/>
        <w:numPr>
          <w:ilvl w:val="0"/>
          <w:numId w:val="11"/>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18D40EAE">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物品准备：体视显微镜、高硼硅玻璃细管、口吸管、盛胚胎液的、培养皿、胚胎盛放瓶</w:t>
      </w:r>
    </w:p>
    <w:p w14:paraId="3FEA9037">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下一步。</w:t>
      </w:r>
    </w:p>
    <w:p w14:paraId="04065B41">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13984851">
      <w:pPr>
        <w:keepNext w:val="0"/>
        <w:keepLines w:val="0"/>
        <w:widowControl/>
        <w:numPr>
          <w:ilvl w:val="0"/>
          <w:numId w:val="11"/>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实际操作：点击“培养皿”点击“高硼硅玻璃细管”点击“胚胎”</w:t>
      </w:r>
    </w:p>
    <w:p w14:paraId="33DA5D92">
      <w:pPr>
        <w:keepNext w:val="0"/>
        <w:keepLines w:val="0"/>
        <w:widowControl/>
        <w:numPr>
          <w:ilvl w:val="0"/>
          <w:numId w:val="3"/>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胚胎移植</w:t>
      </w:r>
    </w:p>
    <w:p w14:paraId="16226A35">
      <w:pPr>
        <w:keepNext w:val="0"/>
        <w:keepLines w:val="0"/>
        <w:widowControl/>
        <w:numPr>
          <w:ilvl w:val="0"/>
          <w:numId w:val="12"/>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41CA99E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妊娠判断</w:t>
      </w:r>
    </w:p>
    <w:p w14:paraId="3451B075">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牛胚胎的早期死亡率高，且主要发生在25天以前，故应在移植2个月后，视受体牛的</w:t>
      </w:r>
    </w:p>
    <w:p w14:paraId="1FD9E54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发情情况进行直肠检查来判断是否妊娠。</w:t>
      </w:r>
    </w:p>
    <w:p w14:paraId="5A548E8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异常情况</w:t>
      </w:r>
    </w:p>
    <w:p w14:paraId="3D6EA7C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胚胎早期死亡多集中于妊娠早期，尤其是附植前后如牛15-25d。胚胎早期死亡后孕体完全被吸收,以后再发情时间与胚胎死亡时间有关。</w:t>
      </w:r>
    </w:p>
    <w:p w14:paraId="0F6563D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分泌异常:雌激素、黄体酮作用于输卵管平滑肌，调节受精卵运行。如果二者比例失调，早期胚胎运行速度异常，引起胚胎死亡。黄体酮分泌延迟，造成胚胎发育与子宫内环境不能同步化，胚胎不能和附植，妊娠终止。</w:t>
      </w:r>
    </w:p>
    <w:p w14:paraId="591CBE3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手术移植</w:t>
      </w:r>
    </w:p>
    <w:p w14:paraId="56AEC469">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对于已配种母牛，在右肋部切口找到非排卵侧子宫角，把吸有胚胎的注射器或移卵管刺入子宫角前端注入胚胎;对于未配种母牛，在每侧子宫角各注入1枚胚胎;然后将子宫复位，缝合切口。</w:t>
      </w:r>
    </w:p>
    <w:p w14:paraId="1547ED5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胚胎发育期与受体子宫移植时间的对应关系</w:t>
      </w:r>
    </w:p>
    <w:p w14:paraId="6CF01DE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桑葚胚(M)移植给发情时间为第5-6天受体母牛(发情为0d)早期囊胚(EB)移植给发情时间为第5.5-6.5天受体母牛;囊胚(B)移植给发情时间为第6-7天受体母牛;扩张囊胚(EXB)移植给发情时间为第7~8天受体母牛。</w:t>
      </w:r>
    </w:p>
    <w:p w14:paraId="7B1F2A92">
      <w:pPr>
        <w:keepNext w:val="0"/>
        <w:keepLines w:val="0"/>
        <w:widowControl/>
        <w:numPr>
          <w:ilvl w:val="0"/>
          <w:numId w:val="12"/>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1B553A17">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物品准备：保定架、一次性长臂塑料手套、润滑剂、消毒纸巾、细管、注射器、凯苏枪.</w:t>
      </w:r>
    </w:p>
    <w:p w14:paraId="50457E5F">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胚胎液、保护液。下一步</w:t>
      </w:r>
    </w:p>
    <w:p w14:paraId="4AE4BAED">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52B24699">
      <w:pPr>
        <w:keepNext w:val="0"/>
        <w:keepLines w:val="0"/>
        <w:widowControl/>
        <w:numPr>
          <w:ilvl w:val="0"/>
          <w:numId w:val="12"/>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保护液”点击“胚胎液”点击“保护液”点击“凯苏枪”点击“保定架”点击“消毒纸巾”点击“润滑剂”点击“宿粪”点击“阴门”点击“凯苏枪”点击“子宫颈”点击“凯苏枪”点击“子宫颈”点击“子宫角”点击“凯苏枪”点击“消毒纸巾”点击“凯苏枪外套”</w:t>
      </w:r>
    </w:p>
    <w:p w14:paraId="19226EFB">
      <w:pPr>
        <w:keepNext w:val="0"/>
        <w:keepLines w:val="0"/>
        <w:widowControl/>
        <w:numPr>
          <w:ilvl w:val="0"/>
          <w:numId w:val="3"/>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 xml:space="preserve">妊娠鉴定 </w:t>
      </w:r>
    </w:p>
    <w:p w14:paraId="38CC0229">
      <w:pPr>
        <w:keepNext w:val="0"/>
        <w:keepLines w:val="0"/>
        <w:widowControl/>
        <w:numPr>
          <w:ilvl w:val="0"/>
          <w:numId w:val="13"/>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1A439711">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妊娠诊断</w:t>
      </w:r>
    </w:p>
    <w:p w14:paraId="5A9AD22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诊断是确定母牛配种后是否已经妊娠的一项技术。搞好妊娠诊断，可以防止母牛空怀提高繁殖率，尤其是早期妊娠诊断更为重要。经妊娠诊断，对确定已经妊娠的母牛，应加强饲养管理，保证胎儿的发育，维持母牛的健康;对未妊娠的母牛，及时检查，找出未孕原因，采取相应的技术措施。生产中常用的妊娠诊断方法有六种:外部观察法、巩膜血管诊断法、乳汁血液孕酮测定法、阴道检查法</w:t>
      </w:r>
    </w:p>
    <w:p w14:paraId="1D0E0F90">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直肠检查法、超声波检查法。</w:t>
      </w:r>
    </w:p>
    <w:p w14:paraId="4DEC92D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不同妊娠阶段变化</w:t>
      </w:r>
    </w:p>
    <w:p w14:paraId="324E9FF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配种后19-22天子宫变化不明显，如果卵巢上有发育良好的黄体，可怀疑已受孕。妊娠30天后两侧子宫大小开始不一，孕角略为变粗质地松软，有波动感，孕角的子宫壁变薄;空角较坚实，有弹性。用手握住孕角，轻轻滑动时可感到有胎囊，用拇指与食指捏起子宫角，然后放松可感到子宫腔内有胎囊滑过。胎囊在40天时才有球形感，直径达3.5-4cm。妊娠60天后，孕角大小为空角的2倍左右，波动感明显，角间沟变得宽平，子宫向腹腔下垂，但依然能摸到整个子宫。妊娠90天，孕角的直径长到10-12cm，波动极明显;空角也增大1倍，角间沟消失，子宫开始沉向腹腔，初产牛下沉要晚些。子宫颈前移，有时能摸到胎儿。孕侧的子宫动脉出现微弱的妊娠脉搏。</w:t>
      </w:r>
    </w:p>
    <w:p w14:paraId="55A5ABB3">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妊娠150天，子宫膨大，沉入前腹腔区，子叶增长到胡桃核到鸡蛋大小，子宫动脉增粗，达手指粗细。空角子宫也增粗，出现妊娠脉搏。</w:t>
      </w:r>
    </w:p>
    <w:p w14:paraId="3024992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子宫动脉沿荐骨前行，在荐骨与腰椎交界的岬部前方，可摸到主动脉的最后一个分支，称髂内动脉。在左右两根髂内动脉的根部，顺子宫阔韧带下行，可摸到子宫动脉。</w:t>
      </w:r>
    </w:p>
    <w:p w14:paraId="01778C4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外部观察法</w:t>
      </w:r>
    </w:p>
    <w:p w14:paraId="2B49365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妊娠后，发情周期停止，食欲增强，营养状况改善，毛色光亮，性情变得较为温顺，在妊娠后5个月左右，牛腹围增大，乳房增大。这种方法虽然简单，容易掌握，但不易早期确切诊断还应结合其他方法来确定。</w:t>
      </w:r>
    </w:p>
    <w:p w14:paraId="5EE6BC4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巩膜血管诊断法</w:t>
      </w:r>
    </w:p>
    <w:p w14:paraId="7474864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配种后20天，将牛保定，可以观察到瞳孔正上方巩膜表面有1-2条呈直线状态(少数为弯曲)的纵向血管，颜色深红、轮廓清晰，比正常血管要粗，直径约为1mm，同时母牛也无发情表现，判断为妊娠。如果没有妊娠，巩膜表面无明显血管暴露，血管细，颜色淡。</w:t>
      </w:r>
    </w:p>
    <w:p w14:paraId="2347E82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乳汁血液孕酮测定法</w:t>
      </w:r>
    </w:p>
    <w:p w14:paraId="632AF8A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配种后第35-83天，乳汁孕酮含量达到35ng/mL以上可确定为妊娠。</w:t>
      </w:r>
    </w:p>
    <w:p w14:paraId="0DAA4BE0">
      <w:pPr>
        <w:keepNext w:val="0"/>
        <w:keepLines w:val="0"/>
        <w:widowControl/>
        <w:numPr>
          <w:ilvl w:val="0"/>
          <w:numId w:val="13"/>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49B1D75A">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物品准备：保定架、一次性长臂塑料手套、润滑剂、消毒纸巾、开窒器、B超，下一步</w:t>
      </w:r>
    </w:p>
    <w:p w14:paraId="7A16F55A">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45D25EDD">
      <w:pPr>
        <w:keepNext w:val="0"/>
        <w:keepLines w:val="0"/>
        <w:widowControl/>
        <w:numPr>
          <w:ilvl w:val="0"/>
          <w:numId w:val="13"/>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实际操作：点击“开窒器”点击“开窒器”点击“开窒器”点击“开窒器”点击“开窒器”点击“保定架”点击“润滑剂”点击“子宫颈”点击“胎儿与子宫”点击“B超”</w:t>
      </w:r>
    </w:p>
    <w:p w14:paraId="4852E962">
      <w:pPr>
        <w:pStyle w:val="3"/>
        <w:numPr>
          <w:ilvl w:val="0"/>
          <w:numId w:val="1"/>
        </w:numPr>
        <w:bidi w:val="0"/>
        <w:ind w:left="425" w:leftChars="0" w:hanging="425" w:firstLineChars="0"/>
        <w:rPr>
          <w:rFonts w:hint="eastAsia"/>
          <w:highlight w:val="none"/>
          <w:lang w:val="en-US" w:eastAsia="zh-CN"/>
        </w:rPr>
      </w:pPr>
      <w:bookmarkStart w:id="9" w:name="_Toc32572"/>
      <w:r>
        <w:rPr>
          <w:rFonts w:hint="eastAsia"/>
          <w:highlight w:val="none"/>
          <w:lang w:val="en-US" w:eastAsia="zh-CN"/>
        </w:rPr>
        <w:t>实训考核</w:t>
      </w:r>
      <w:bookmarkEnd w:id="9"/>
    </w:p>
    <w:p w14:paraId="14852FA3">
      <w:pPr>
        <w:keepNext w:val="0"/>
        <w:keepLines w:val="0"/>
        <w:widowControl/>
        <w:numPr>
          <w:ilvl w:val="0"/>
          <w:numId w:val="14"/>
        </w:numPr>
        <w:suppressLineNumbers w:val="0"/>
        <w:ind w:left="425" w:leftChars="0" w:hanging="425"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牛的同期发情处理</w:t>
      </w:r>
    </w:p>
    <w:p w14:paraId="45D22A3F">
      <w:pPr>
        <w:keepNext w:val="0"/>
        <w:keepLines w:val="0"/>
        <w:widowControl/>
        <w:numPr>
          <w:ilvl w:val="0"/>
          <w:numId w:val="15"/>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636A9DA8">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物品准备：垃圾袋、注射器、阴道栓、长柄钳、氯前列烯醇、消毒纸巾、保定架、润滑剂，下一步</w:t>
      </w:r>
    </w:p>
    <w:p w14:paraId="5044A12C">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22331384">
      <w:pPr>
        <w:keepNext w:val="0"/>
        <w:keepLines w:val="0"/>
        <w:widowControl/>
        <w:numPr>
          <w:ilvl w:val="0"/>
          <w:numId w:val="15"/>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实际操作：点击“消毒纸巾”点击“阴道栓”点击“阴道口”点击“阴道栓”点击“氯前例烯醇”点击“牛颈部”点击“氯前例烯醇”点击“牛颈部”点击“牛颈部”点击“氯前例烯醇”点击“牛颈部”</w:t>
      </w:r>
    </w:p>
    <w:p w14:paraId="28D64564">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点击“牛颈部”点击“氯前例烯醇”点击“牛颈部”点击“牛颈部”点击“发情母牛”点击“发情母牛”</w:t>
      </w:r>
    </w:p>
    <w:p w14:paraId="5584B99F">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点击“未发情母牛”点击“发情母牛”点击“保定架”点击“润滑剂”点击“卵巢”点击“卵巢”点击“卵巢”</w:t>
      </w:r>
    </w:p>
    <w:p w14:paraId="4B772CBD">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highlight w:val="none"/>
          <w:lang w:val="en-US" w:eastAsia="zh-CN" w:bidi="ar"/>
          <w14:ligatures w14:val="standardContextual"/>
        </w:rPr>
      </w:pPr>
      <w:r>
        <w:rPr>
          <w:rFonts w:hint="eastAsia" w:ascii="宋体" w:hAnsi="宋体" w:eastAsia="宋体" w:cs="宋体"/>
          <w:color w:val="000000"/>
          <w:kern w:val="0"/>
          <w:sz w:val="21"/>
          <w:szCs w:val="21"/>
          <w:highlight w:val="none"/>
          <w:lang w:val="en-US" w:eastAsia="zh-CN" w:bidi="ar"/>
          <w14:ligatures w14:val="standardContextual"/>
        </w:rPr>
        <w:t>牛的超数排卵处理</w:t>
      </w:r>
    </w:p>
    <w:p w14:paraId="21DD2B5F">
      <w:pPr>
        <w:keepNext w:val="0"/>
        <w:keepLines w:val="0"/>
        <w:widowControl/>
        <w:numPr>
          <w:ilvl w:val="0"/>
          <w:numId w:val="16"/>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4A455542">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物品准备：注射器、FSH、PMSG、阴道栓、长柄钳、PVP、甲基-PGF2a、PGF、消毒纸巾、保定架，下一步</w:t>
      </w:r>
    </w:p>
    <w:p w14:paraId="5C44340B">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0973839F">
      <w:pPr>
        <w:keepNext w:val="0"/>
        <w:keepLines w:val="0"/>
        <w:widowControl/>
        <w:numPr>
          <w:ilvl w:val="0"/>
          <w:numId w:val="16"/>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实际操作：点击“促卵泡生长素FSH”点击“牛颈部”点击“促卵泡生长素FSH”点击“牛颈部”</w:t>
      </w:r>
    </w:p>
    <w:p w14:paraId="7318C9AC">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牛颈部”点击“孕马血清促性腺激素(PMSG）”点击“牛颈部”点击“前列腺素F(PGF)”点击“牛颈部”点击“孕马血清促性腺激素(PMSG）”点击“牛颈部”点击“消毒纸巾”点击“阴道栓”点击“阴道口”点击“促卵泡生长素FSH”点击“牛颈部”点击“阴道栓”点击“前列腺素(PG)”点击“牛颈部”</w:t>
      </w:r>
    </w:p>
    <w:p w14:paraId="0856CBF1">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点击“促卵泡生长素FSH、聚乙烯哔咯烷酮(PVP)”点击“牛颈部”点击“卡波前列腺素(甲基-PGF2a)”</w:t>
      </w:r>
    </w:p>
    <w:p w14:paraId="659F912F">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点击“牛颈部”</w:t>
      </w:r>
    </w:p>
    <w:p w14:paraId="1C6D2A77">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highlight w:val="none"/>
          <w:lang w:val="en-US" w:eastAsia="zh-CN" w:bidi="ar"/>
          <w14:ligatures w14:val="standardContextual"/>
        </w:rPr>
      </w:pPr>
      <w:r>
        <w:rPr>
          <w:rFonts w:hint="eastAsia" w:ascii="宋体" w:hAnsi="宋体" w:eastAsia="宋体" w:cs="宋体"/>
          <w:color w:val="000000"/>
          <w:kern w:val="0"/>
          <w:sz w:val="21"/>
          <w:szCs w:val="21"/>
          <w:highlight w:val="none"/>
          <w:lang w:val="en-US" w:eastAsia="zh-CN" w:bidi="ar"/>
          <w14:ligatures w14:val="standardContextual"/>
        </w:rPr>
        <w:t>精子活率检查</w:t>
      </w:r>
    </w:p>
    <w:p w14:paraId="69089B08">
      <w:pPr>
        <w:keepNext w:val="0"/>
        <w:keepLines w:val="0"/>
        <w:widowControl/>
        <w:numPr>
          <w:ilvl w:val="0"/>
          <w:numId w:val="17"/>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435A32D7">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物品准备：双筒显微镜、载玻片、盖玻片、玻璃棒、恒温载物台、精液样本、生理盐水，下一步</w:t>
      </w:r>
    </w:p>
    <w:p w14:paraId="6E0758BB">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16EF59FE">
      <w:pPr>
        <w:keepNext w:val="0"/>
        <w:keepLines w:val="0"/>
        <w:widowControl/>
        <w:numPr>
          <w:ilvl w:val="0"/>
          <w:numId w:val="17"/>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w:t>
      </w:r>
      <w:r>
        <w:rPr>
          <w:rFonts w:hint="eastAsia" w:ascii="宋体" w:hAnsi="宋体" w:eastAsia="宋体" w:cs="宋体"/>
          <w:color w:val="000000"/>
          <w:kern w:val="0"/>
          <w:sz w:val="21"/>
          <w:szCs w:val="21"/>
          <w:highlight w:val="none"/>
          <w:lang w:val="en-US" w:eastAsia="zh-CN" w:bidi="ar"/>
          <w14:ligatures w14:val="standardContextual"/>
        </w:rPr>
        <w:t>恒温载物台设备开关</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恒温载物台设备开关</w:t>
      </w:r>
      <w:r>
        <w:rPr>
          <w:rFonts w:hint="eastAsia" w:ascii="宋体" w:hAnsi="宋体" w:eastAsia="宋体" w:cs="宋体"/>
          <w:color w:val="000000"/>
          <w:kern w:val="0"/>
          <w:sz w:val="21"/>
          <w:szCs w:val="21"/>
          <w:highlight w:val="none"/>
          <w:lang w:val="en-US" w:eastAsia="zh-CN" w:bidi="ar"/>
          <w14:ligatures w14:val="standardContextual"/>
        </w:rPr>
        <w:tab/>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玻璃棒</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玻璃棒</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玻璃盖片</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显微镜</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载玻片</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载玻片</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样品1</w:t>
      </w:r>
      <w:r>
        <w:rPr>
          <w:rFonts w:hint="eastAsia" w:ascii="Times New Roman" w:hAnsi="Times New Roman" w:eastAsia="宋体" w:cs="Times New Roman"/>
          <w:highlight w:val="none"/>
          <w:lang w:val="en-US" w:eastAsia="zh-CN"/>
        </w:rPr>
        <w:t>”</w:t>
      </w:r>
    </w:p>
    <w:p w14:paraId="7AD3422D">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highlight w:val="none"/>
          <w:lang w:val="en-US" w:eastAsia="zh-CN" w:bidi="ar"/>
          <w14:ligatures w14:val="standardContextual"/>
        </w:rPr>
      </w:pPr>
      <w:r>
        <w:rPr>
          <w:rFonts w:hint="eastAsia" w:ascii="宋体" w:hAnsi="宋体" w:eastAsia="宋体" w:cs="宋体"/>
          <w:color w:val="000000"/>
          <w:kern w:val="0"/>
          <w:sz w:val="21"/>
          <w:szCs w:val="21"/>
          <w:highlight w:val="none"/>
          <w:lang w:val="en-US" w:eastAsia="zh-CN" w:bidi="ar"/>
          <w14:ligatures w14:val="standardContextual"/>
        </w:rPr>
        <w:t>牛的人工授精</w:t>
      </w:r>
    </w:p>
    <w:p w14:paraId="0B583992">
      <w:pPr>
        <w:keepNext w:val="0"/>
        <w:keepLines w:val="0"/>
        <w:widowControl/>
        <w:numPr>
          <w:ilvl w:val="0"/>
          <w:numId w:val="18"/>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6AAFCF99">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物品准备：输精枪及外套管、保定架、一次性长臂塑料手套、恒温水浴锅、长柄镊子、细管专用剪、0.3%高锰酸钾,、消毒纸巾、液氮罐，下一步</w:t>
      </w:r>
    </w:p>
    <w:p w14:paraId="76E58B3D">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46D675B4">
      <w:pPr>
        <w:keepNext w:val="0"/>
        <w:keepLines w:val="0"/>
        <w:widowControl/>
        <w:numPr>
          <w:ilvl w:val="0"/>
          <w:numId w:val="18"/>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实际操作：点击“保定架”点击“恒温水浴锅”点击“液氮罐盖子”点击“长柄镊子”点击“消毒纸巾”点击“输精枪”点击“冻精细管”点击“细管专用剪”点击“输精枪外套”点击“恒温水浴锅”</w:t>
      </w:r>
    </w:p>
    <w:p w14:paraId="026921AA">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点击“0.3%高锰酸钾”点击“消毒纸巾”点击“润滑剂”点击“宿粪”点击“阴门”点击“输精枪”点击“子宫颈”</w:t>
      </w:r>
      <w:r>
        <w:rPr>
          <w:rFonts w:hint="eastAsia" w:ascii="Times New Roman" w:hAnsi="Times New Roman" w:eastAsia="宋体" w:cs="Times New Roman"/>
          <w:highlight w:val="none"/>
          <w:lang w:val="en-US" w:eastAsia="zh-CN"/>
        </w:rPr>
        <w:tab/>
      </w:r>
      <w:r>
        <w:rPr>
          <w:rFonts w:hint="eastAsia" w:ascii="Times New Roman" w:hAnsi="Times New Roman" w:eastAsia="宋体" w:cs="Times New Roman"/>
          <w:highlight w:val="none"/>
          <w:lang w:val="en-US" w:eastAsia="zh-CN"/>
        </w:rPr>
        <w:t>点击“输精枪”点击“子宫颈”点击“子宫体”点击“输精枪”点击“纸巾”点击“输精枪外套”</w:t>
      </w:r>
    </w:p>
    <w:p w14:paraId="165AF997">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highlight w:val="none"/>
          <w:lang w:val="en-US" w:eastAsia="zh-CN" w:bidi="ar"/>
          <w14:ligatures w14:val="standardContextual"/>
        </w:rPr>
      </w:pPr>
      <w:r>
        <w:rPr>
          <w:rFonts w:hint="eastAsia" w:ascii="宋体" w:hAnsi="宋体" w:eastAsia="宋体" w:cs="宋体"/>
          <w:color w:val="000000"/>
          <w:kern w:val="0"/>
          <w:sz w:val="21"/>
          <w:szCs w:val="21"/>
          <w:highlight w:val="none"/>
          <w:lang w:val="en-US" w:eastAsia="zh-CN" w:bidi="ar"/>
          <w14:ligatures w14:val="standardContextual"/>
        </w:rPr>
        <w:t>牛的冲胚</w:t>
      </w:r>
    </w:p>
    <w:p w14:paraId="3C1B854E">
      <w:pPr>
        <w:keepNext w:val="0"/>
        <w:keepLines w:val="0"/>
        <w:widowControl/>
        <w:numPr>
          <w:ilvl w:val="0"/>
          <w:numId w:val="19"/>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421BC981">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物品准备：保定架、一次性长臂塑料手套、消毒纸巾、扩张棒、冲卵管、注射器、杯子、冲卵液、青霉素、链霉素、氯前列烯醇，下一步</w:t>
      </w:r>
    </w:p>
    <w:p w14:paraId="685F6605">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0D3EF2CF">
      <w:pPr>
        <w:keepNext w:val="0"/>
        <w:keepLines w:val="0"/>
        <w:widowControl/>
        <w:numPr>
          <w:ilvl w:val="0"/>
          <w:numId w:val="19"/>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保定架”点击“杯子”点击“消毒纸巾”点击“扩张棒”点击“冲卵管”点击“冲卵管”点击“冲卵管”点击“无菌手套”点击“注射器”点击“冲卵液”点击“子宫角”点击“子宫角”点击“冲卵管”点击“注射器”</w:t>
      </w:r>
    </w:p>
    <w:p w14:paraId="06957BBC">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highlight w:val="none"/>
          <w:lang w:val="en-US" w:eastAsia="zh-CN" w:bidi="ar"/>
          <w14:ligatures w14:val="standardContextual"/>
        </w:rPr>
      </w:pPr>
      <w:r>
        <w:rPr>
          <w:rFonts w:hint="eastAsia" w:ascii="宋体" w:hAnsi="宋体" w:eastAsia="宋体" w:cs="宋体"/>
          <w:color w:val="000000"/>
          <w:kern w:val="0"/>
          <w:sz w:val="21"/>
          <w:szCs w:val="21"/>
          <w:highlight w:val="none"/>
          <w:lang w:val="en-US" w:eastAsia="zh-CN" w:bidi="ar"/>
          <w14:ligatures w14:val="standardContextual"/>
        </w:rPr>
        <w:t>胚胎选择</w:t>
      </w:r>
    </w:p>
    <w:p w14:paraId="61927221">
      <w:pPr>
        <w:keepNext w:val="0"/>
        <w:keepLines w:val="0"/>
        <w:widowControl/>
        <w:numPr>
          <w:ilvl w:val="0"/>
          <w:numId w:val="20"/>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06195286">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物品准备：体视显微镜、高硼硅玻璃细管、口吸管、盛胚胎液的、培养皿、胚胎盛放瓶，下一步。</w:t>
      </w:r>
    </w:p>
    <w:p w14:paraId="0BBCB969">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4B067A89">
      <w:pPr>
        <w:keepNext w:val="0"/>
        <w:keepLines w:val="0"/>
        <w:widowControl/>
        <w:numPr>
          <w:ilvl w:val="0"/>
          <w:numId w:val="20"/>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实际操作：点击“培养皿”点击“高硼硅玻璃细管”点击“胚胎”</w:t>
      </w:r>
    </w:p>
    <w:p w14:paraId="01FBD178">
      <w:pPr>
        <w:keepNext w:val="0"/>
        <w:keepLines w:val="0"/>
        <w:widowControl/>
        <w:numPr>
          <w:ilvl w:val="0"/>
          <w:numId w:val="14"/>
        </w:numPr>
        <w:suppressLineNumbers w:val="0"/>
        <w:ind w:left="425" w:leftChars="0" w:hanging="425" w:firstLineChars="0"/>
        <w:jc w:val="left"/>
        <w:rPr>
          <w:rFonts w:hint="eastAsia" w:ascii="宋体" w:hAnsi="宋体" w:eastAsia="宋体" w:cs="宋体"/>
          <w:highlight w:val="none"/>
        </w:rPr>
      </w:pPr>
      <w:r>
        <w:rPr>
          <w:rFonts w:hint="eastAsia" w:ascii="宋体" w:hAnsi="宋体" w:eastAsia="宋体" w:cs="宋体"/>
          <w:color w:val="000000"/>
          <w:kern w:val="0"/>
          <w:sz w:val="21"/>
          <w:szCs w:val="21"/>
          <w:highlight w:val="none"/>
          <w:lang w:val="en-US" w:eastAsia="zh-CN" w:bidi="ar"/>
          <w14:ligatures w14:val="standardContextual"/>
        </w:rPr>
        <w:t>胚胎移植</w:t>
      </w:r>
    </w:p>
    <w:p w14:paraId="529D89F8">
      <w:pPr>
        <w:keepNext w:val="0"/>
        <w:keepLines w:val="0"/>
        <w:widowControl/>
        <w:numPr>
          <w:ilvl w:val="0"/>
          <w:numId w:val="21"/>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5B49B2A1">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物品准备：保定架、一次性长臂塑料手套、润滑剂、消毒纸巾、细管、注射器、凯苏枪、胚胎液、保护液。下一步</w:t>
      </w:r>
    </w:p>
    <w:p w14:paraId="495FB9EC">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7BE5FF3B">
      <w:pPr>
        <w:keepNext w:val="0"/>
        <w:keepLines w:val="0"/>
        <w:widowControl/>
        <w:numPr>
          <w:ilvl w:val="0"/>
          <w:numId w:val="21"/>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保护液”点击“胚胎液”点击“保护液”点击“凯苏枪”点击“保定架”点击“消毒纸巾”点击“润滑剂”点击“宿粪”点击“阴门”点击“凯苏枪”点击“子宫颈”点击“凯苏枪”点击“子宫颈”点击“子宫角”点击“凯苏枪”点击“消毒纸巾”点击“凯苏枪外套”。</w:t>
      </w:r>
    </w:p>
    <w:p w14:paraId="63AD2A61">
      <w:pPr>
        <w:keepNext w:val="0"/>
        <w:keepLines w:val="0"/>
        <w:widowControl/>
        <w:numPr>
          <w:ilvl w:val="0"/>
          <w:numId w:val="14"/>
        </w:numPr>
        <w:suppressLineNumbers w:val="0"/>
        <w:ind w:left="425" w:leftChars="0" w:hanging="425" w:firstLineChars="0"/>
        <w:jc w:val="left"/>
        <w:rPr>
          <w:rFonts w:hint="eastAsia" w:ascii="宋体" w:hAnsi="宋体" w:eastAsia="宋体" w:cs="宋体"/>
          <w:highlight w:val="none"/>
        </w:rPr>
      </w:pPr>
      <w:r>
        <w:rPr>
          <w:rFonts w:hint="eastAsia" w:ascii="宋体" w:hAnsi="宋体" w:eastAsia="宋体" w:cs="宋体"/>
          <w:color w:val="000000"/>
          <w:kern w:val="0"/>
          <w:sz w:val="21"/>
          <w:szCs w:val="21"/>
          <w:highlight w:val="none"/>
          <w:lang w:val="en-US" w:eastAsia="zh-CN" w:bidi="ar"/>
          <w14:ligatures w14:val="standardContextual"/>
        </w:rPr>
        <w:t xml:space="preserve">妊娠鉴定 </w:t>
      </w:r>
    </w:p>
    <w:p w14:paraId="6AE84179">
      <w:pPr>
        <w:keepNext w:val="0"/>
        <w:keepLines w:val="0"/>
        <w:widowControl/>
        <w:numPr>
          <w:ilvl w:val="0"/>
          <w:numId w:val="22"/>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02D1857C">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物品准备：保定架、一次性长臂塑料手套、润滑剂、消毒纸巾、开窒器、B超，下一步</w:t>
      </w:r>
    </w:p>
    <w:p w14:paraId="0D13AE61">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7ED950D1">
      <w:pPr>
        <w:keepNext w:val="0"/>
        <w:keepLines w:val="0"/>
        <w:widowControl/>
        <w:numPr>
          <w:ilvl w:val="0"/>
          <w:numId w:val="22"/>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实际操作：点击“开窒器”点击“开窒器”点击“开窒器”点击“开窒器”点击“开窒器”点击“保定架”点击“润滑剂”点击“子宫颈”点击“胎儿与子宫”点击“B超”。</w:t>
      </w:r>
    </w:p>
    <w:bookmarkEnd w:id="7"/>
    <w:p w14:paraId="1DF9E16A">
      <w:pPr>
        <w:pStyle w:val="2"/>
        <w:numPr>
          <w:ilvl w:val="0"/>
          <w:numId w:val="23"/>
        </w:numPr>
        <w:bidi w:val="0"/>
        <w:rPr>
          <w:rFonts w:hint="eastAsia"/>
          <w:lang w:val="en-US" w:eastAsia="zh-CN"/>
        </w:rPr>
      </w:pPr>
      <w:bookmarkStart w:id="10" w:name="_Toc3255"/>
      <w:r>
        <w:rPr>
          <w:rFonts w:hint="eastAsia"/>
          <w:lang w:val="en-US" w:eastAsia="zh-CN"/>
        </w:rPr>
        <w:t>实验过程记录及实验结论</w:t>
      </w:r>
      <w:bookmarkEnd w:id="10"/>
    </w:p>
    <w:p w14:paraId="4E2B3374">
      <w:pPr>
        <w:pStyle w:val="3"/>
        <w:numPr>
          <w:ilvl w:val="0"/>
          <w:numId w:val="24"/>
        </w:numPr>
        <w:bidi w:val="0"/>
        <w:ind w:left="425" w:leftChars="0" w:hanging="425" w:firstLineChars="0"/>
      </w:pPr>
      <w:bookmarkStart w:id="11" w:name="_Toc16401"/>
      <w:r>
        <w:rPr>
          <w:rFonts w:hint="eastAsia"/>
          <w:lang w:val="en-US" w:eastAsia="zh-CN"/>
        </w:rPr>
        <w:t>实训考核成绩</w:t>
      </w:r>
      <w:bookmarkEnd w:id="11"/>
    </w:p>
    <w:p w14:paraId="3621AC48"/>
    <w:p w14:paraId="386C551F">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牛的同期发情处理模拟实验：</w:t>
      </w:r>
    </w:p>
    <w:tbl>
      <w:tblPr>
        <w:tblStyle w:val="13"/>
        <w:tblpPr w:leftFromText="180" w:rightFromText="180" w:vertAnchor="text" w:horzAnchor="page" w:tblpX="1083" w:tblpY="119"/>
        <w:tblOverlap w:val="never"/>
        <w:tblW w:w="986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1275"/>
        <w:gridCol w:w="2099"/>
        <w:gridCol w:w="3195"/>
        <w:gridCol w:w="1395"/>
        <w:gridCol w:w="1140"/>
      </w:tblGrid>
      <w:tr w14:paraId="77E1E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A1DAFCC">
            <w:pPr>
              <w:keepNext w:val="0"/>
              <w:keepLines w:val="0"/>
              <w:widowControl/>
              <w:suppressLineNumbers w:val="0"/>
              <w:jc w:val="center"/>
              <w:textAlignment w:val="center"/>
              <w:rPr>
                <w:rFonts w:ascii="仿宋" w:hAnsi="仿宋" w:eastAsia="仿宋" w:cs="仿宋"/>
                <w:b/>
                <w:bCs/>
                <w:i w:val="0"/>
                <w:iCs w:val="0"/>
                <w:color w:val="000000"/>
                <w:sz w:val="22"/>
                <w:szCs w:val="22"/>
                <w:u w:val="none"/>
              </w:rPr>
            </w:pPr>
            <w:bookmarkStart w:id="12" w:name="OLE_LINK1" w:colFirst="4" w:colLast="4"/>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7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F07D85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2099"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9ACB73F">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31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505B33D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13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6800ED2">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114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3E03F3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1E121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976CE7B">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60EF7B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6FCB46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0848DE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注射器、孕酮阴道栓（CIDR）、长柄钳、氯前列烯醇、前列腺素（PG）</w:t>
            </w:r>
            <w:bookmarkStart w:id="13" w:name="OLE_LINK4"/>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13"/>
            <w:r>
              <w:rPr>
                <w:rFonts w:hint="eastAsia" w:ascii="仿宋" w:hAnsi="仿宋" w:eastAsia="仿宋" w:cs="仿宋"/>
                <w:b w:val="0"/>
                <w:bCs w:val="0"/>
                <w:i w:val="0"/>
                <w:iCs w:val="0"/>
                <w:color w:val="000000"/>
                <w:kern w:val="0"/>
                <w:sz w:val="22"/>
                <w:szCs w:val="22"/>
                <w:u w:val="none"/>
                <w:lang w:val="en-US" w:eastAsia="zh-CN" w:bidi="ar"/>
                <w14:ligatures w14:val="standardContextual"/>
              </w:rPr>
              <w:t>消毒纸巾、保定架</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AB0A33E">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{牛的同期发情处理物品准备Time}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92E57A1">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{牛的同期发情处理物品准备}</w:t>
            </w:r>
          </w:p>
        </w:tc>
      </w:tr>
      <w:tr w14:paraId="4E478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161B0E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1E7720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DCA46B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E7D23B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bookmarkStart w:id="14" w:name="OLE_LINK9"/>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15" w:name="OLE_LINK3"/>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15"/>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bookmarkEnd w:id="14"/>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168C03C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{牛的同期发情处理人员准备Time}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10CE7DE0">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{牛的同期发情处理人员准备}</w:t>
            </w:r>
          </w:p>
        </w:tc>
      </w:tr>
      <w:tr w14:paraId="3BFCA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47FFCF7">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EB47E3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3C9C21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孕激素法</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F7B4A0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消毒纸巾</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7DC67C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{牛的同期发情处理孕激素法Time}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B81E06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{牛的同期发情处理孕激素法}</w:t>
            </w:r>
          </w:p>
        </w:tc>
      </w:tr>
      <w:tr w14:paraId="7826E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6764830">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4</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1663E7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294CCB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前列腺素法</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0A0D2A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氯前列烯醇</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83DF7A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{牛的同期发情处理前列腺素法Time}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5CCEE9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{牛的同期发情处理前列腺素法}</w:t>
            </w:r>
          </w:p>
        </w:tc>
      </w:tr>
      <w:tr w14:paraId="3B1FF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2C074B7">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5</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81B4FC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EA42DC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二次前列腺素法</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6459C7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氯前列烯醇</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2AC706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{牛的同期发情处理二次前列腺素法Time}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40DCC7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{牛的同期发情处理二次前列腺素法}</w:t>
            </w:r>
          </w:p>
        </w:tc>
      </w:tr>
      <w:tr w14:paraId="1AE0C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8E7BD3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6</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A7C099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FEC27D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发情判断</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B6338E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牛1、牛2</w:t>
            </w:r>
            <w:bookmarkStart w:id="16" w:name="OLE_LINK8"/>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16"/>
            <w:r>
              <w:rPr>
                <w:rFonts w:hint="eastAsia" w:ascii="仿宋" w:hAnsi="仿宋" w:eastAsia="仿宋" w:cs="仿宋"/>
                <w:b w:val="0"/>
                <w:bCs w:val="0"/>
                <w:i w:val="0"/>
                <w:iCs w:val="0"/>
                <w:color w:val="000000"/>
                <w:kern w:val="0"/>
                <w:sz w:val="22"/>
                <w:szCs w:val="22"/>
                <w:u w:val="none"/>
                <w:lang w:val="en-US" w:eastAsia="zh-CN" w:bidi="ar"/>
                <w14:ligatures w14:val="standardContextual"/>
              </w:rPr>
              <w:t>牛3、牛4</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2D9A94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{牛的同期发情处理发情判断Time}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B4E733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{牛的同期发情处理发情判断}</w:t>
            </w:r>
          </w:p>
        </w:tc>
      </w:tr>
      <w:tr w14:paraId="6D9AF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007BC6E">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7</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481C19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8B9082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直肠检查法</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F0718E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w:t>
            </w:r>
            <w:bookmarkStart w:id="17" w:name="OLE_LINK7"/>
            <w:r>
              <w:rPr>
                <w:rFonts w:hint="eastAsia" w:ascii="仿宋" w:hAnsi="仿宋" w:eastAsia="仿宋" w:cs="仿宋"/>
                <w:b w:val="0"/>
                <w:bCs w:val="0"/>
                <w:i w:val="0"/>
                <w:iCs w:val="0"/>
                <w:color w:val="000000"/>
                <w:kern w:val="0"/>
                <w:sz w:val="22"/>
                <w:szCs w:val="22"/>
                <w:u w:val="none"/>
                <w:lang w:val="en-US" w:eastAsia="zh-CN" w:bidi="ar"/>
                <w14:ligatures w14:val="standardContextual"/>
              </w:rPr>
              <w:t>润滑剂</w:t>
            </w:r>
            <w:bookmarkEnd w:id="17"/>
            <w:r>
              <w:rPr>
                <w:rFonts w:hint="eastAsia" w:ascii="仿宋" w:hAnsi="仿宋" w:eastAsia="仿宋" w:cs="仿宋"/>
                <w:b w:val="0"/>
                <w:bCs w:val="0"/>
                <w:i w:val="0"/>
                <w:iCs w:val="0"/>
                <w:color w:val="000000"/>
                <w:kern w:val="0"/>
                <w:sz w:val="22"/>
                <w:szCs w:val="22"/>
                <w:u w:val="none"/>
                <w:lang w:val="en-US" w:eastAsia="zh-CN" w:bidi="ar"/>
                <w14:ligatures w14:val="standardContextual"/>
              </w:rPr>
              <w:t>、子宫大弯、卵巢</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1A5B3CA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{牛的同期发情处理直肠检查法Time}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B5B56F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{牛的同期发情处理直肠检查法}</w:t>
            </w:r>
          </w:p>
        </w:tc>
      </w:tr>
      <w:tr w14:paraId="3B8C4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7334" w:type="dxa"/>
            <w:gridSpan w:val="4"/>
            <w:tcBorders>
              <w:top w:val="single" w:color="72A7BB" w:sz="4" w:space="0"/>
              <w:left w:val="single" w:color="72A7BB" w:sz="4" w:space="0"/>
              <w:bottom w:val="single" w:color="72A7BB" w:sz="4" w:space="0"/>
              <w:right w:val="single" w:color="72A7BB" w:sz="4" w:space="0"/>
            </w:tcBorders>
            <w:shd w:val="clear" w:color="auto" w:fill="FEFEFE"/>
            <w:vAlign w:val="center"/>
          </w:tcPr>
          <w:p w14:paraId="1A8EF7E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1C35DA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highlight w:val="none"/>
                <w:u w:val="none"/>
                <w:lang w:val="en-US" w:eastAsia="zh-CN" w:bidi="ar"/>
                <w14:ligatures w14:val="standardContextual"/>
              </w:rPr>
            </w:pP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7E7ADE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bookmarkEnd w:id="12"/>
    </w:tbl>
    <w:p w14:paraId="5846742E">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牛的超数排卵处理模拟实验：</w:t>
      </w:r>
    </w:p>
    <w:tbl>
      <w:tblPr>
        <w:tblStyle w:val="13"/>
        <w:tblpPr w:leftFromText="180" w:rightFromText="180" w:vertAnchor="text" w:horzAnchor="page" w:tblpX="1068" w:tblpY="119"/>
        <w:tblOverlap w:val="never"/>
        <w:tblW w:w="98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275"/>
        <w:gridCol w:w="2084"/>
        <w:gridCol w:w="3210"/>
        <w:gridCol w:w="1395"/>
        <w:gridCol w:w="1140"/>
      </w:tblGrid>
      <w:tr w14:paraId="20066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F781AD2">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7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85AEA7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2084"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D425D9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321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00266E3">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13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5FD69D5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114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BBF5639">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6FEF3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0E113D9">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8BA5FA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08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571774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CA4810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注射器、促卵泡生成素（FSH）、孕马血清促性腺激素（PMSG）孕酮阴道栓（CIDR）、长柄钳、聚乙烯哔咯烷酮（PVP）、卡波前列腺素（甲基-PGF2α）、消毒纸巾、前列腺素F（PGF）、保定架</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5521F73">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{牛的超数排卵处理物品准备Time}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D849C02">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{牛的超数排卵处理物品准备}</w:t>
            </w:r>
          </w:p>
        </w:tc>
      </w:tr>
      <w:tr w14:paraId="2EF9D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D21B41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AA722D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08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8DD144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90D897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18" w:name="OLE_LINK12"/>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19" w:name="OLE_LINK10"/>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19"/>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bookmarkEnd w:id="18"/>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23D137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{牛的超数排卵处理人员准备Time}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451A721">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{牛的超数排卵处理人员准备}</w:t>
            </w:r>
          </w:p>
        </w:tc>
      </w:tr>
      <w:tr w14:paraId="7D6A8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9E3BD8B">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D63F20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08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8816F1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使用FSH进行超排</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B9EFBF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FSH、牛脖子、FSH、牛脖子</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9DE22D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{牛的超数排卵处理使用FSH进行超排Time}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6D18FD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{牛的超数排卵处理使用FSH进行超排}</w:t>
            </w:r>
          </w:p>
        </w:tc>
      </w:tr>
      <w:tr w14:paraId="65338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247C759">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4</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13399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8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19CA9F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使用PMSG进行超排</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6F6F54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PMSG、牛脖子、PGF、牛脖子、PMSG、牛脖子</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51F736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{牛的超数排卵处理使用PMSG进行超排Time}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2EF0D5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{牛的超数排卵处理使用PMSG进行超排}</w:t>
            </w:r>
          </w:p>
        </w:tc>
      </w:tr>
      <w:tr w14:paraId="413A2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D8A2730">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5</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8D859A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8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263A70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采用CIDR和FSH联合超排</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9B69DF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消毒纸巾、子宫颈、FSH、牛脖子、阴道栓、前列腺素</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BA347C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{牛的超数排卵处理采用CIDR和FSH联合超排Time}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397590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{牛的超数排卵处理采用CIDR和FSH联合超排}</w:t>
            </w:r>
          </w:p>
        </w:tc>
      </w:tr>
      <w:tr w14:paraId="404CF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544A54A">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6</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D45550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8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30436C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采用CIDR和FSH联合超排</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7B9FFD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牛脖子</w:t>
            </w:r>
          </w:p>
          <w:p w14:paraId="6500771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FSH-R</w:t>
            </w:r>
          </w:p>
          <w:p w14:paraId="061DE27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牛脖子</w:t>
            </w:r>
          </w:p>
          <w:p w14:paraId="2EB90A6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甲基-PGF2α15mg</w:t>
            </w:r>
          </w:p>
          <w:p w14:paraId="42346F1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牛脖子</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F8C331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{牛的超数排卵处理采用FSH+PVP+PGF2α联合用药法Time}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5EE415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{牛的超数排卵处理采用FSH+PVP+PGF2α联合用药法}</w:t>
            </w:r>
          </w:p>
        </w:tc>
      </w:tr>
      <w:tr w14:paraId="6F1E6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7349" w:type="dxa"/>
            <w:gridSpan w:val="4"/>
            <w:tcBorders>
              <w:top w:val="single" w:color="72A7BB" w:sz="4" w:space="0"/>
              <w:left w:val="single" w:color="72A7BB" w:sz="4" w:space="0"/>
              <w:bottom w:val="single" w:color="72A7BB" w:sz="4" w:space="0"/>
              <w:right w:val="single" w:color="72A7BB" w:sz="4" w:space="0"/>
            </w:tcBorders>
            <w:shd w:val="clear" w:color="auto" w:fill="FEFEFE"/>
            <w:vAlign w:val="center"/>
          </w:tcPr>
          <w:p w14:paraId="20EBAB6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67E576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highlight w:val="none"/>
                <w:u w:val="none"/>
                <w:lang w:val="en-US" w:eastAsia="zh-CN" w:bidi="ar"/>
                <w14:ligatures w14:val="standardContextual"/>
              </w:rPr>
            </w:pP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DCAD58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57421DDD">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精子活率检查</w:t>
      </w:r>
    </w:p>
    <w:tbl>
      <w:tblPr>
        <w:tblStyle w:val="13"/>
        <w:tblpPr w:leftFromText="180" w:rightFromText="180" w:vertAnchor="text" w:horzAnchor="page" w:tblpX="1083" w:tblpY="119"/>
        <w:tblOverlap w:val="never"/>
        <w:tblW w:w="985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1275"/>
        <w:gridCol w:w="2099"/>
        <w:gridCol w:w="3195"/>
        <w:gridCol w:w="1395"/>
        <w:gridCol w:w="1125"/>
      </w:tblGrid>
      <w:tr w14:paraId="1E667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BCC9E9B">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7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1E73C5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2099"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6BD606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31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ED44BE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13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6AC88AD">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112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36D42A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7692E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8F1069E">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8E87E9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EC54117">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DF9B80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显微镜、载玻片、盖玻片、玻璃棒、恒温载物台、牛的精液</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CE3111E">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{精子活率检查物品准备Time}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DFA3FB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{精子活率检查物品准备}</w:t>
            </w:r>
          </w:p>
        </w:tc>
      </w:tr>
      <w:tr w14:paraId="18B81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316AA30">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DF395C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79F7B9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4D08A0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20" w:name="OLE_LINK15"/>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21" w:name="OLE_LINK13"/>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21"/>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bookmarkEnd w:id="20"/>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8FB56F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{精子活率检查人员准备Time}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90CD412">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{精子活率检查人员准备}</w:t>
            </w:r>
          </w:p>
        </w:tc>
      </w:tr>
      <w:tr w14:paraId="28648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C3AEFE7">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6DD2DD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22" w:name="OLE_LINK11"/>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bookmarkEnd w:id="22"/>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B1618C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23" w:name="OLE_LINK6"/>
            <w:r>
              <w:rPr>
                <w:rFonts w:hint="eastAsia" w:ascii="仿宋" w:hAnsi="仿宋" w:eastAsia="仿宋" w:cs="仿宋"/>
                <w:b w:val="0"/>
                <w:bCs w:val="0"/>
                <w:i w:val="0"/>
                <w:iCs w:val="0"/>
                <w:color w:val="000000"/>
                <w:kern w:val="0"/>
                <w:sz w:val="22"/>
                <w:szCs w:val="22"/>
                <w:u w:val="none"/>
                <w:lang w:val="en-US" w:eastAsia="zh-CN" w:bidi="ar"/>
                <w14:ligatures w14:val="standardContextual"/>
              </w:rPr>
              <w:t>检查的方法</w:t>
            </w:r>
            <w:bookmarkEnd w:id="23"/>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2403FE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玻璃棒</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1BFDCD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{精子活率检查设备调温Time}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C58C0F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{精子活率检查设备调温}</w:t>
            </w:r>
          </w:p>
        </w:tc>
      </w:tr>
      <w:tr w14:paraId="3E468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8A5DA22">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4</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B09119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A5600F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检查的方法</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3BB4B8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盖玻片、显微镜</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AAEAD2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{精子活率检查检查的方法Time}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10F818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{精子活率检查检查的方法}</w:t>
            </w:r>
          </w:p>
        </w:tc>
      </w:tr>
      <w:tr w14:paraId="47774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5E4EA44">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5</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BEF5D1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012050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精子活力判定</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7A9F62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精子瓶B、精子瓶C</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3BD6A0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{精子活率检查精子活力判定Time}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1B684C6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{精子活率检查精子活力判定}</w:t>
            </w:r>
          </w:p>
        </w:tc>
      </w:tr>
      <w:tr w14:paraId="3AAE4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334" w:type="dxa"/>
            <w:gridSpan w:val="4"/>
            <w:tcBorders>
              <w:top w:val="single" w:color="72A7BB" w:sz="4" w:space="0"/>
              <w:left w:val="single" w:color="72A7BB" w:sz="4" w:space="0"/>
              <w:bottom w:val="single" w:color="72A7BB" w:sz="4" w:space="0"/>
              <w:right w:val="single" w:color="72A7BB" w:sz="4" w:space="0"/>
            </w:tcBorders>
            <w:shd w:val="clear" w:color="auto" w:fill="FEFEFE"/>
            <w:vAlign w:val="center"/>
          </w:tcPr>
          <w:p w14:paraId="65C4FD52">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CDD189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highlight w:val="none"/>
                <w:u w:val="none"/>
                <w:lang w:val="en-US" w:eastAsia="zh-CN" w:bidi="ar"/>
                <w14:ligatures w14:val="standardContextual"/>
              </w:rPr>
            </w:pP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54D38C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04A0A019">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牛的人工授精</w:t>
      </w:r>
    </w:p>
    <w:tbl>
      <w:tblPr>
        <w:tblStyle w:val="13"/>
        <w:tblpPr w:leftFromText="180" w:rightFromText="180" w:vertAnchor="text" w:horzAnchor="page" w:tblpX="1068" w:tblpY="119"/>
        <w:tblOverlap w:val="never"/>
        <w:tblW w:w="98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260"/>
        <w:gridCol w:w="2114"/>
        <w:gridCol w:w="3180"/>
        <w:gridCol w:w="1425"/>
        <w:gridCol w:w="1140"/>
      </w:tblGrid>
      <w:tr w14:paraId="4E15D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353692E">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6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8F80B7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2114"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61E445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318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CFCB227">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142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18E800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114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246578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0B589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75577C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E3ED9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430CDA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18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BB3C05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输精枪及外套管；保定架；一次性长臂塑料手套；恒温水浴锅(可用烧杯或保温杯结合温度计代替)；镊子；细管剪；0.3%高锰酸钾；消毒纸巾；液氮罐；细管专用剪</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F3F9CAD">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{牛的人工授精物品准备Time}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1BDE14A">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{牛的人工授精物品准备}</w:t>
            </w:r>
          </w:p>
        </w:tc>
      </w:tr>
      <w:tr w14:paraId="537A8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82C8776">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2C7EC4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BCDE4A7">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18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7399D8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帽子</w:t>
            </w:r>
          </w:p>
          <w:p w14:paraId="0E6F2E0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口罩</w:t>
            </w:r>
          </w:p>
          <w:p w14:paraId="56920CF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水龙头</w:t>
            </w:r>
          </w:p>
          <w:p w14:paraId="4C100EC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无菌擦手纸</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4ADBE3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{牛的人工授精人员准备Time}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91831C6">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{牛的人工授精人员准备}</w:t>
            </w:r>
          </w:p>
        </w:tc>
      </w:tr>
      <w:tr w14:paraId="2B99F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CCCA783">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C98DFD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1BE442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牛的保定</w:t>
            </w:r>
          </w:p>
        </w:tc>
        <w:tc>
          <w:tcPr>
            <w:tcW w:w="318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B7B5F4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5C0D2D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{牛的人工授精牛的保定Time}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FC0CA8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{牛的人工授精牛的保定}</w:t>
            </w:r>
          </w:p>
        </w:tc>
      </w:tr>
      <w:tr w14:paraId="38590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97E187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4</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F86121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2EE3E2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精液的准备</w:t>
            </w:r>
          </w:p>
        </w:tc>
        <w:tc>
          <w:tcPr>
            <w:tcW w:w="318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9CF53A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水浴锅、液氮罐盖子、镊子、消毒纸巾、输精枪、冻精细管、细管专用剪、输精枪外套</w:t>
            </w:r>
            <w:bookmarkStart w:id="24" w:name="OLE_LINK17"/>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24"/>
            <w:r>
              <w:rPr>
                <w:rFonts w:hint="eastAsia" w:ascii="仿宋" w:hAnsi="仿宋" w:eastAsia="仿宋" w:cs="仿宋"/>
                <w:b w:val="0"/>
                <w:bCs w:val="0"/>
                <w:i w:val="0"/>
                <w:iCs w:val="0"/>
                <w:color w:val="000000"/>
                <w:kern w:val="0"/>
                <w:sz w:val="22"/>
                <w:szCs w:val="22"/>
                <w:u w:val="none"/>
                <w:lang w:val="en-US" w:eastAsia="zh-CN" w:bidi="ar"/>
                <w14:ligatures w14:val="standardContextual"/>
              </w:rPr>
              <w:t>水浴锅</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269E61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{牛的人工授精精液的准备Time}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A67D49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{牛的人工授精精液的准备}</w:t>
            </w:r>
          </w:p>
        </w:tc>
      </w:tr>
      <w:tr w14:paraId="3CFE9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D39A826">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5</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DB7FAA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8ACFA9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引导排粪及外阴部消毒</w:t>
            </w:r>
          </w:p>
        </w:tc>
        <w:tc>
          <w:tcPr>
            <w:tcW w:w="318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3A776D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消毒液</w:t>
            </w:r>
            <w:bookmarkStart w:id="25" w:name="OLE_LINK18"/>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25"/>
            <w:r>
              <w:rPr>
                <w:rFonts w:hint="eastAsia" w:ascii="仿宋" w:hAnsi="仿宋" w:eastAsia="仿宋" w:cs="仿宋"/>
                <w:b w:val="0"/>
                <w:bCs w:val="0"/>
                <w:i w:val="0"/>
                <w:iCs w:val="0"/>
                <w:color w:val="000000"/>
                <w:kern w:val="0"/>
                <w:sz w:val="22"/>
                <w:szCs w:val="22"/>
                <w:u w:val="none"/>
                <w:lang w:val="en-US" w:eastAsia="zh-CN" w:bidi="ar"/>
                <w14:ligatures w14:val="standardContextual"/>
              </w:rPr>
              <w:t>消毒纸巾</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80AC34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{牛的人工授精引导排粪及外阴部消毒Time}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A97474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{牛的人工授精引导排粪及外阴部消毒}</w:t>
            </w:r>
          </w:p>
        </w:tc>
      </w:tr>
      <w:tr w14:paraId="21A6C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7B0DDE1">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6</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212A71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31F59D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输精</w:t>
            </w:r>
          </w:p>
        </w:tc>
        <w:tc>
          <w:tcPr>
            <w:tcW w:w="318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EA4A3D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润滑剂、宿粪、阴门裂、输精枪、子宫颈、输精枪、子宫颈、子宫颈后的手指按压点位、输精枪、纸巾、输精枪外套</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FCE918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{牛的人工授精输精Time}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97B045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{牛的人工授精输精}</w:t>
            </w:r>
          </w:p>
        </w:tc>
      </w:tr>
      <w:tr w14:paraId="12EAE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7334" w:type="dxa"/>
            <w:gridSpan w:val="4"/>
            <w:tcBorders>
              <w:top w:val="single" w:color="72A7BB" w:sz="4" w:space="0"/>
              <w:left w:val="single" w:color="72A7BB" w:sz="4" w:space="0"/>
              <w:bottom w:val="single" w:color="72A7BB" w:sz="4" w:space="0"/>
              <w:right w:val="single" w:color="72A7BB" w:sz="4" w:space="0"/>
            </w:tcBorders>
            <w:shd w:val="clear" w:color="auto" w:fill="FEFEFE"/>
            <w:vAlign w:val="center"/>
          </w:tcPr>
          <w:p w14:paraId="289C09F2">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4CBF4A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highlight w:val="none"/>
                <w:u w:val="none"/>
                <w:lang w:val="en-US" w:eastAsia="zh-CN" w:bidi="ar"/>
                <w14:ligatures w14:val="standardContextual"/>
              </w:rPr>
            </w:pP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616F26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21DE0D0C">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牛的冲胚</w:t>
      </w:r>
    </w:p>
    <w:tbl>
      <w:tblPr>
        <w:tblStyle w:val="13"/>
        <w:tblpPr w:leftFromText="180" w:rightFromText="180" w:vertAnchor="text" w:horzAnchor="page" w:tblpX="1053" w:tblpY="119"/>
        <w:tblOverlap w:val="never"/>
        <w:tblW w:w="992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5"/>
        <w:gridCol w:w="1245"/>
        <w:gridCol w:w="2129"/>
        <w:gridCol w:w="3195"/>
        <w:gridCol w:w="1410"/>
        <w:gridCol w:w="1155"/>
      </w:tblGrid>
      <w:tr w14:paraId="09816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BEF2891">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4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688BF1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2129"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5C4E77B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31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43E3BF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141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0C3480B">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115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135807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3B017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AB91CC5">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3C6149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CDC1AB7">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6ABFC3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保定架、一次性长臂塑料手套、消毒纸巾、扩张棒、冲卵管、注射器、容器、冲卵液、青霉素、链霉素、氯前列烯醇</w:t>
            </w:r>
          </w:p>
        </w:tc>
        <w:tc>
          <w:tcPr>
            <w:tcW w:w="141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D615599">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{牛的冲胚物品准备Time}</w:t>
            </w: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6E575B3">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{牛的冲胚物品准备}</w:t>
            </w:r>
          </w:p>
        </w:tc>
      </w:tr>
      <w:tr w14:paraId="6EDDE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119CEEB">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47E63E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0E333F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5C882F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26" w:name="OLE_LINK21"/>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27" w:name="OLE_LINK19"/>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27"/>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bookmarkEnd w:id="26"/>
          </w:p>
        </w:tc>
        <w:tc>
          <w:tcPr>
            <w:tcW w:w="141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68B9BE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{牛的冲胚人员准备Time}</w:t>
            </w: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C7DD267">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{牛的冲胚人员准备}</w:t>
            </w:r>
          </w:p>
        </w:tc>
      </w:tr>
      <w:tr w14:paraId="60972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EBC46EF">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F5569C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7EA575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牛的保定</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4DB3EC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w:t>
            </w:r>
          </w:p>
        </w:tc>
        <w:tc>
          <w:tcPr>
            <w:tcW w:w="141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E8B41A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{牛的冲胚牛的保定Time}</w:t>
            </w: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53BF06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{牛的冲胚牛的保定}</w:t>
            </w:r>
          </w:p>
        </w:tc>
      </w:tr>
      <w:tr w14:paraId="6DEFE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ED6DC53">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4</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26E97B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28" w:name="OLE_LINK16"/>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bookmarkEnd w:id="28"/>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73DC6B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29" w:name="OLE_LINK14"/>
            <w:r>
              <w:rPr>
                <w:rFonts w:hint="eastAsia" w:ascii="仿宋" w:hAnsi="仿宋" w:eastAsia="仿宋" w:cs="仿宋"/>
                <w:b w:val="0"/>
                <w:bCs w:val="0"/>
                <w:i w:val="0"/>
                <w:iCs w:val="0"/>
                <w:color w:val="000000"/>
                <w:kern w:val="0"/>
                <w:sz w:val="22"/>
                <w:szCs w:val="22"/>
                <w:u w:val="none"/>
                <w:lang w:val="en-US" w:eastAsia="zh-CN" w:bidi="ar"/>
                <w14:ligatures w14:val="standardContextual"/>
              </w:rPr>
              <w:t>冲胚步骤</w:t>
            </w:r>
            <w:bookmarkEnd w:id="29"/>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2B965C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容器、消毒纸巾、扩张棒、冲卵管、冲卵管、冲卵管钢芯、注射器、冲卵液、抓握的子宫角、另一侧子宫角</w:t>
            </w:r>
          </w:p>
        </w:tc>
        <w:tc>
          <w:tcPr>
            <w:tcW w:w="141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BC4965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{牛的冲胚冲胚步骤Time}</w:t>
            </w: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16B07D1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{牛的冲胚冲胚步骤}</w:t>
            </w:r>
          </w:p>
        </w:tc>
      </w:tr>
      <w:tr w14:paraId="34FBB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452F9E2">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5</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4C71E7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A4D7797">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冲胚步骤</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1C1E93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冲卵管、注射器</w:t>
            </w:r>
          </w:p>
        </w:tc>
        <w:tc>
          <w:tcPr>
            <w:tcW w:w="141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95AEF1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{牛的冲胚冲胚后处理Time}</w:t>
            </w: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80D7DC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{牛的冲胚冲胚后处理}</w:t>
            </w:r>
          </w:p>
        </w:tc>
      </w:tr>
      <w:tr w14:paraId="3C49E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7364" w:type="dxa"/>
            <w:gridSpan w:val="4"/>
            <w:tcBorders>
              <w:top w:val="single" w:color="72A7BB" w:sz="4" w:space="0"/>
              <w:left w:val="single" w:color="72A7BB" w:sz="4" w:space="0"/>
              <w:bottom w:val="single" w:color="72A7BB" w:sz="4" w:space="0"/>
              <w:right w:val="single" w:color="72A7BB" w:sz="4" w:space="0"/>
            </w:tcBorders>
            <w:shd w:val="clear" w:color="auto" w:fill="FEFEFE"/>
            <w:vAlign w:val="center"/>
          </w:tcPr>
          <w:p w14:paraId="1207723D">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141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FC80B4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highlight w:val="none"/>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A7B43D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5D9650EA">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胚胎选择</w:t>
      </w:r>
    </w:p>
    <w:tbl>
      <w:tblPr>
        <w:tblStyle w:val="13"/>
        <w:tblpPr w:leftFromText="180" w:rightFromText="180" w:vertAnchor="text" w:horzAnchor="page" w:tblpX="1068" w:tblpY="119"/>
        <w:tblOverlap w:val="never"/>
        <w:tblW w:w="99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215"/>
        <w:gridCol w:w="2129"/>
        <w:gridCol w:w="3240"/>
        <w:gridCol w:w="1395"/>
        <w:gridCol w:w="1155"/>
      </w:tblGrid>
      <w:tr w14:paraId="7AC7B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40DE864">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1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9387EF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2129"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E6C991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324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B55DB5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13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19E304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115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8685B8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0A7F1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318E9A6">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931DEF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AECEF8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24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89C17D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体视显微镜、高硼硅玻璃细管、口吸管、胚胎液（以培养皿盛放）、胚胎盛放瓶</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7415AF9">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{胚胎选择物品准备Time}</w:t>
            </w: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DE0F039">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{胚胎选择物品准备}</w:t>
            </w:r>
          </w:p>
        </w:tc>
      </w:tr>
      <w:tr w14:paraId="08C40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EE923B3">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E73C8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00D5CA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24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47939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30" w:name="OLE_LINK23"/>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31" w:name="OLE_LINK22"/>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31"/>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bookmarkEnd w:id="30"/>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3D8500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{胚胎选择人员准备Time}</w:t>
            </w: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415A247">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{胚胎选择人员准备}</w:t>
            </w:r>
          </w:p>
        </w:tc>
      </w:tr>
      <w:tr w14:paraId="2F62E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AAB784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A78FEF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419A22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选择胚胎</w:t>
            </w:r>
          </w:p>
        </w:tc>
        <w:tc>
          <w:tcPr>
            <w:tcW w:w="324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7FC1B2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培养皿、玻璃细管、弹窗中的胚胎图像</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8CD909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{胚胎选择选择胚胎Time}</w:t>
            </w: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05BCD0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{胚胎选择选择胚胎}</w:t>
            </w:r>
          </w:p>
        </w:tc>
      </w:tr>
      <w:tr w14:paraId="2E2D7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364" w:type="dxa"/>
            <w:gridSpan w:val="4"/>
            <w:tcBorders>
              <w:top w:val="single" w:color="72A7BB" w:sz="4" w:space="0"/>
              <w:left w:val="single" w:color="72A7BB" w:sz="4" w:space="0"/>
              <w:bottom w:val="single" w:color="72A7BB" w:sz="4" w:space="0"/>
              <w:right w:val="single" w:color="72A7BB" w:sz="4" w:space="0"/>
            </w:tcBorders>
            <w:shd w:val="clear" w:color="auto" w:fill="FEFEFE"/>
            <w:vAlign w:val="center"/>
          </w:tcPr>
          <w:p w14:paraId="32E7484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7702CE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highlight w:val="none"/>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D9B9ED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4F3536C2">
      <w:pPr>
        <w:keepNext w:val="0"/>
        <w:keepLines w:val="0"/>
        <w:widowControl/>
        <w:numPr>
          <w:ilvl w:val="0"/>
          <w:numId w:val="25"/>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胚胎移植</w:t>
      </w:r>
    </w:p>
    <w:tbl>
      <w:tblPr>
        <w:tblStyle w:val="13"/>
        <w:tblpPr w:leftFromText="180" w:rightFromText="180" w:vertAnchor="text" w:horzAnchor="page" w:tblpX="1068" w:tblpY="119"/>
        <w:tblOverlap w:val="never"/>
        <w:tblW w:w="98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5"/>
        <w:gridCol w:w="1215"/>
        <w:gridCol w:w="2114"/>
        <w:gridCol w:w="3225"/>
        <w:gridCol w:w="1425"/>
        <w:gridCol w:w="1125"/>
      </w:tblGrid>
      <w:tr w14:paraId="59222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A282B1E">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1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E77A57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2114"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01D6F8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322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2DA5F7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142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5EDBA3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112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AE495CA">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33523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9F0F410">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40510E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C47EC4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22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B42A99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保定架、一次性长臂塑料手套、润滑剂、消毒纸巾、细管、注射器、凯苏枪、胚胎液</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E204931">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{胚胎移植物品准备Time}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EB65CE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{胚胎移植物品准备}</w:t>
            </w:r>
          </w:p>
        </w:tc>
      </w:tr>
      <w:tr w14:paraId="24E72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BFF53F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EEFE65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0EF319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22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6049C5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32" w:name="OLE_LINK2"/>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33" w:name="OLE_LINK25"/>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33"/>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bookmarkEnd w:id="32"/>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55A68A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{胚胎移植人员准备Time}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618D7C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{胚胎移植人员准备}</w:t>
            </w:r>
          </w:p>
        </w:tc>
      </w:tr>
      <w:tr w14:paraId="6B81E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D9800D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754685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974ABD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非手术移植</w:t>
            </w:r>
          </w:p>
        </w:tc>
        <w:tc>
          <w:tcPr>
            <w:tcW w:w="322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1CDBE0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保护液、胚胎液、保护液、凯苏枪、保定架、消毒纸巾、润滑剂、宿粪、阴门裂、凯苏枪、子宫颈、凯苏枪、子宫颈</w:t>
            </w:r>
            <w:bookmarkStart w:id="34" w:name="OLE_LINK26"/>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34"/>
            <w:r>
              <w:rPr>
                <w:rFonts w:hint="eastAsia" w:ascii="仿宋" w:hAnsi="仿宋" w:eastAsia="仿宋" w:cs="仿宋"/>
                <w:b w:val="0"/>
                <w:bCs w:val="0"/>
                <w:i w:val="0"/>
                <w:iCs w:val="0"/>
                <w:color w:val="000000"/>
                <w:kern w:val="0"/>
                <w:sz w:val="22"/>
                <w:szCs w:val="22"/>
                <w:u w:val="none"/>
                <w:lang w:val="en-US" w:eastAsia="zh-CN" w:bidi="ar"/>
                <w14:ligatures w14:val="standardContextual"/>
              </w:rPr>
              <w:t>子宫颈后的手指按压点位、凯苏枪、纸巾、凯苏枪外套</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E6A7EF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{胚胎移植非手术移植Time}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2FE951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{胚胎移植非手术移植}</w:t>
            </w:r>
          </w:p>
        </w:tc>
      </w:tr>
      <w:tr w14:paraId="73727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349" w:type="dxa"/>
            <w:gridSpan w:val="4"/>
            <w:tcBorders>
              <w:top w:val="single" w:color="72A7BB" w:sz="4" w:space="0"/>
              <w:left w:val="single" w:color="72A7BB" w:sz="4" w:space="0"/>
              <w:bottom w:val="single" w:color="72A7BB" w:sz="4" w:space="0"/>
              <w:right w:val="single" w:color="72A7BB" w:sz="4" w:space="0"/>
            </w:tcBorders>
            <w:shd w:val="clear" w:color="auto" w:fill="FEFEFE"/>
            <w:vAlign w:val="center"/>
          </w:tcPr>
          <w:p w14:paraId="607DB3A4">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1CB8B85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highlight w:val="none"/>
                <w:u w:val="none"/>
                <w:lang w:val="en-US" w:eastAsia="zh-CN" w:bidi="ar"/>
                <w14:ligatures w14:val="standardContextual"/>
              </w:rPr>
            </w:pP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467C19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2280F916">
      <w:pPr>
        <w:keepNext w:val="0"/>
        <w:keepLines w:val="0"/>
        <w:widowControl/>
        <w:numPr>
          <w:ilvl w:val="0"/>
          <w:numId w:val="25"/>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 xml:space="preserve">妊娠鉴定 </w:t>
      </w:r>
    </w:p>
    <w:tbl>
      <w:tblPr>
        <w:tblStyle w:val="13"/>
        <w:tblpPr w:leftFromText="180" w:rightFromText="180" w:vertAnchor="text" w:horzAnchor="page" w:tblpX="1053" w:tblpY="119"/>
        <w:tblOverlap w:val="never"/>
        <w:tblW w:w="992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0"/>
        <w:gridCol w:w="1170"/>
        <w:gridCol w:w="2129"/>
        <w:gridCol w:w="3210"/>
        <w:gridCol w:w="1440"/>
        <w:gridCol w:w="1140"/>
      </w:tblGrid>
      <w:tr w14:paraId="5E775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1A785C4">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1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55BDD0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2129"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E075E9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321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FBF5CE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144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08C401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114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25D1E3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3E575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7578EA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19A60E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AFD808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7DECC7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保定架、一次性长臂塑料手套、润滑剂、消毒纸巾、开窒器、B超</w:t>
            </w:r>
          </w:p>
        </w:tc>
        <w:tc>
          <w:tcPr>
            <w:tcW w:w="14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9D0FB10">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{妊娠鉴定物品准备Time}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23D0BC6">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{妊娠鉴定物品准备}</w:t>
            </w:r>
          </w:p>
        </w:tc>
      </w:tr>
      <w:tr w14:paraId="02BA5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04568B3">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7CD22E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6933737">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2F92ED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35" w:name="OLE_LINK24"/>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35"/>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p>
        </w:tc>
        <w:tc>
          <w:tcPr>
            <w:tcW w:w="14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B2E63E7">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{妊娠鉴定人员准备Time}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C7008C2">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{妊娠鉴定人员准备}</w:t>
            </w:r>
          </w:p>
        </w:tc>
      </w:tr>
      <w:tr w14:paraId="41551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6A35863">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F22A17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992F45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阴道检查法</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9E3E4A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开窒器、阴道</w:t>
            </w:r>
          </w:p>
        </w:tc>
        <w:tc>
          <w:tcPr>
            <w:tcW w:w="14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2FD871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{妊娠鉴定阴道检查法Time}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1CF68DF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{妊娠鉴定阴道检查法}</w:t>
            </w:r>
          </w:p>
        </w:tc>
      </w:tr>
      <w:tr w14:paraId="5ADD5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867B87A">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4</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3F3F62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B23D18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直肠检查法</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C1F0BF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保定架、润滑剂、子宫颈、子宫角</w:t>
            </w:r>
          </w:p>
        </w:tc>
        <w:tc>
          <w:tcPr>
            <w:tcW w:w="14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997AE4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{妊娠鉴定直肠检查法Time}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450B1A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{妊娠鉴定直肠检查法}</w:t>
            </w:r>
          </w:p>
        </w:tc>
      </w:tr>
      <w:tr w14:paraId="088EE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91FE29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5</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C74C99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0B4428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超声波检测法</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B5DAEC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B超探头</w:t>
            </w:r>
            <w:bookmarkStart w:id="36" w:name="OLE_LINK28"/>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36"/>
            <w:r>
              <w:rPr>
                <w:rFonts w:hint="eastAsia" w:ascii="仿宋" w:hAnsi="仿宋" w:eastAsia="仿宋" w:cs="仿宋"/>
                <w:b w:val="0"/>
                <w:bCs w:val="0"/>
                <w:i w:val="0"/>
                <w:iCs w:val="0"/>
                <w:color w:val="000000"/>
                <w:kern w:val="0"/>
                <w:sz w:val="22"/>
                <w:szCs w:val="22"/>
                <w:u w:val="none"/>
                <w:lang w:val="en-US" w:eastAsia="zh-CN" w:bidi="ar"/>
                <w14:ligatures w14:val="standardContextual"/>
              </w:rPr>
              <w:t>B超设备机身、卷帘机</w:t>
            </w:r>
          </w:p>
        </w:tc>
        <w:tc>
          <w:tcPr>
            <w:tcW w:w="14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108893E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{妊娠鉴定超声波检测法Time}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5A468F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{妊娠鉴定超声波检测法}</w:t>
            </w:r>
          </w:p>
        </w:tc>
      </w:tr>
      <w:tr w14:paraId="1046C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349" w:type="dxa"/>
            <w:gridSpan w:val="4"/>
            <w:tcBorders>
              <w:top w:val="single" w:color="72A7BB" w:sz="4" w:space="0"/>
              <w:left w:val="single" w:color="72A7BB" w:sz="4" w:space="0"/>
              <w:bottom w:val="single" w:color="72A7BB" w:sz="4" w:space="0"/>
              <w:right w:val="single" w:color="72A7BB" w:sz="4" w:space="0"/>
            </w:tcBorders>
            <w:shd w:val="clear" w:color="auto" w:fill="FEFEFE"/>
            <w:vAlign w:val="center"/>
          </w:tcPr>
          <w:p w14:paraId="007A38C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14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00F6F2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highlight w:val="none"/>
                <w:u w:val="none"/>
                <w:lang w:val="en-US" w:eastAsia="zh-CN" w:bidi="ar"/>
                <w14:ligatures w14:val="standardContextual"/>
              </w:rPr>
            </w:pP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0BC86D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61A573F7">
      <w:pPr>
        <w:pStyle w:val="2"/>
        <w:numPr>
          <w:ilvl w:val="0"/>
          <w:numId w:val="23"/>
        </w:numPr>
        <w:bidi w:val="0"/>
        <w:rPr>
          <w:rFonts w:hint="eastAsia"/>
          <w:lang w:val="en-US" w:eastAsia="zh-CN"/>
        </w:rPr>
      </w:pPr>
      <w:bookmarkStart w:id="37" w:name="_Toc8982"/>
      <w:r>
        <w:rPr>
          <w:rFonts w:hint="default"/>
          <w:lang w:val="en-US" w:eastAsia="zh-CN"/>
        </w:rPr>
        <w:t>讨论与分析</w:t>
      </w:r>
      <w:bookmarkEnd w:id="37"/>
      <w:bookmarkStart w:id="39" w:name="_GoBack"/>
      <w:bookmarkEnd w:id="39"/>
    </w:p>
    <w:p w14:paraId="4C56225C">
      <w:pPr>
        <w:pStyle w:val="11"/>
        <w:keepNext w:val="0"/>
        <w:keepLines w:val="0"/>
        <w:widowControl/>
        <w:numPr>
          <w:ilvl w:val="0"/>
          <w:numId w:val="26"/>
        </w:numPr>
        <w:suppressLineNumbers w:val="0"/>
        <w:spacing w:before="0" w:beforeAutospacing="0" w:after="0" w:afterAutospacing="0" w:line="429" w:lineRule="atLeast"/>
        <w:ind w:left="425" w:leftChars="0" w:right="0" w:hanging="425" w:firstLineChars="0"/>
        <w:rPr>
          <w:sz w:val="24"/>
          <w:szCs w:val="24"/>
        </w:rPr>
      </w:pPr>
      <w:r>
        <w:rPr>
          <w:rStyle w:val="15"/>
          <w:rFonts w:hint="default" w:ascii="Segoe UI" w:hAnsi="Segoe UI" w:eastAsia="Segoe UI" w:cs="Segoe UI"/>
          <w:i w:val="0"/>
          <w:iCs w:val="0"/>
          <w:caps w:val="0"/>
          <w:color w:val="404040"/>
          <w:spacing w:val="0"/>
          <w:sz w:val="24"/>
          <w:szCs w:val="24"/>
          <w:shd w:val="clear" w:fill="FFFFFF"/>
        </w:rPr>
        <w:t>同期发情成功率影响因素</w:t>
      </w:r>
      <w:r>
        <w:rPr>
          <w:rFonts w:hint="default" w:ascii="Segoe UI" w:hAnsi="Segoe UI" w:eastAsia="Segoe UI" w:cs="Segoe UI"/>
          <w:i w:val="0"/>
          <w:iCs w:val="0"/>
          <w:caps w:val="0"/>
          <w:color w:val="404040"/>
          <w:spacing w:val="0"/>
          <w:sz w:val="24"/>
          <w:szCs w:val="24"/>
          <w:shd w:val="clear" w:fill="FFFFFF"/>
        </w:rPr>
        <w:t>：激素剂量、母牛体况、操作时机。</w:t>
      </w:r>
    </w:p>
    <w:p w14:paraId="44BF59A9">
      <w:pPr>
        <w:pStyle w:val="11"/>
        <w:keepNext w:val="0"/>
        <w:keepLines w:val="0"/>
        <w:widowControl/>
        <w:numPr>
          <w:ilvl w:val="0"/>
          <w:numId w:val="26"/>
        </w:numPr>
        <w:suppressLineNumbers w:val="0"/>
        <w:spacing w:before="0" w:beforeAutospacing="0" w:after="0" w:afterAutospacing="0" w:line="429" w:lineRule="atLeast"/>
        <w:ind w:left="425" w:leftChars="0" w:right="0" w:hanging="425" w:firstLineChars="0"/>
        <w:rPr>
          <w:sz w:val="24"/>
          <w:szCs w:val="24"/>
        </w:rPr>
      </w:pPr>
      <w:r>
        <w:rPr>
          <w:rStyle w:val="15"/>
          <w:rFonts w:hint="default" w:ascii="Segoe UI" w:hAnsi="Segoe UI" w:eastAsia="Segoe UI" w:cs="Segoe UI"/>
          <w:i w:val="0"/>
          <w:iCs w:val="0"/>
          <w:caps w:val="0"/>
          <w:color w:val="404040"/>
          <w:spacing w:val="0"/>
          <w:sz w:val="24"/>
          <w:szCs w:val="24"/>
          <w:shd w:val="clear" w:fill="FFFFFF"/>
        </w:rPr>
        <w:t>超排效果差异原因</w:t>
      </w:r>
      <w:r>
        <w:rPr>
          <w:rFonts w:hint="default" w:ascii="Segoe UI" w:hAnsi="Segoe UI" w:eastAsia="Segoe UI" w:cs="Segoe UI"/>
          <w:i w:val="0"/>
          <w:iCs w:val="0"/>
          <w:caps w:val="0"/>
          <w:color w:val="404040"/>
          <w:spacing w:val="0"/>
          <w:sz w:val="24"/>
          <w:szCs w:val="24"/>
          <w:shd w:val="clear" w:fill="FFFFFF"/>
        </w:rPr>
        <w:t>：个体对FSH敏感性、卵巢状态。</w:t>
      </w:r>
    </w:p>
    <w:p w14:paraId="4F93348D">
      <w:pPr>
        <w:pStyle w:val="11"/>
        <w:keepNext w:val="0"/>
        <w:keepLines w:val="0"/>
        <w:widowControl/>
        <w:numPr>
          <w:ilvl w:val="0"/>
          <w:numId w:val="26"/>
        </w:numPr>
        <w:suppressLineNumbers w:val="0"/>
        <w:spacing w:before="0" w:beforeAutospacing="0" w:after="0" w:afterAutospacing="0" w:line="429" w:lineRule="atLeast"/>
        <w:ind w:left="425" w:leftChars="0" w:right="0" w:hanging="425" w:firstLineChars="0"/>
        <w:rPr>
          <w:sz w:val="24"/>
          <w:szCs w:val="24"/>
        </w:rPr>
      </w:pPr>
      <w:r>
        <w:rPr>
          <w:rStyle w:val="15"/>
          <w:rFonts w:hint="default" w:ascii="Segoe UI" w:hAnsi="Segoe UI" w:eastAsia="Segoe UI" w:cs="Segoe UI"/>
          <w:i w:val="0"/>
          <w:iCs w:val="0"/>
          <w:caps w:val="0"/>
          <w:color w:val="404040"/>
          <w:spacing w:val="0"/>
          <w:sz w:val="24"/>
          <w:szCs w:val="24"/>
          <w:shd w:val="clear" w:fill="FFFFFF"/>
        </w:rPr>
        <w:t>胚胎移植难点</w:t>
      </w:r>
      <w:r>
        <w:rPr>
          <w:rFonts w:hint="default" w:ascii="Segoe UI" w:hAnsi="Segoe UI" w:eastAsia="Segoe UI" w:cs="Segoe UI"/>
          <w:i w:val="0"/>
          <w:iCs w:val="0"/>
          <w:caps w:val="0"/>
          <w:color w:val="404040"/>
          <w:spacing w:val="0"/>
          <w:sz w:val="24"/>
          <w:szCs w:val="24"/>
          <w:shd w:val="clear" w:fill="FFFFFF"/>
        </w:rPr>
        <w:t>：受体与胚胎发育同步性、移植操作精准度。</w:t>
      </w:r>
    </w:p>
    <w:p w14:paraId="4947122F">
      <w:pPr>
        <w:pStyle w:val="2"/>
        <w:numPr>
          <w:ilvl w:val="0"/>
          <w:numId w:val="23"/>
        </w:numPr>
        <w:bidi w:val="0"/>
        <w:rPr>
          <w:rFonts w:hint="default"/>
          <w:lang w:val="en-US" w:eastAsia="zh-CN"/>
        </w:rPr>
      </w:pPr>
      <w:bookmarkStart w:id="38" w:name="_Toc4476"/>
      <w:r>
        <w:rPr>
          <w:rFonts w:hint="default"/>
          <w:lang w:val="en-US" w:eastAsia="zh-CN"/>
        </w:rPr>
        <w:t>结论</w:t>
      </w:r>
      <w:bookmarkEnd w:id="38"/>
    </w:p>
    <w:p w14:paraId="40F4CBE5">
      <w:pPr>
        <w:pStyle w:val="11"/>
        <w:keepNext w:val="0"/>
        <w:keepLines w:val="0"/>
        <w:widowControl/>
        <w:suppressLineNumbers w:val="0"/>
        <w:shd w:val="clear" w:fill="FFFFFF"/>
        <w:spacing w:before="206" w:beforeAutospacing="0" w:after="206" w:afterAutospacing="0" w:line="429" w:lineRule="atLeast"/>
        <w:ind w:left="0" w:right="0" w:firstLine="480" w:firstLineChars="200"/>
        <w:rPr>
          <w:rFonts w:hint="default" w:ascii="Segoe UI" w:hAnsi="Segoe UI" w:eastAsia="Segoe UI" w:cs="Segoe UI"/>
          <w:i w:val="0"/>
          <w:iCs w:val="0"/>
          <w:caps w:val="0"/>
          <w:color w:val="404040"/>
          <w:spacing w:val="0"/>
          <w:sz w:val="24"/>
          <w:szCs w:val="24"/>
          <w:shd w:val="clear" w:fill="FFFFFF"/>
        </w:rPr>
      </w:pPr>
      <w:r>
        <w:rPr>
          <w:rFonts w:hint="default" w:ascii="Segoe UI" w:hAnsi="Segoe UI" w:eastAsia="Segoe UI" w:cs="Segoe UI"/>
          <w:i w:val="0"/>
          <w:iCs w:val="0"/>
          <w:caps w:val="0"/>
          <w:color w:val="404040"/>
          <w:spacing w:val="0"/>
          <w:sz w:val="24"/>
          <w:szCs w:val="24"/>
          <w:shd w:val="clear" w:fill="FFFFFF"/>
        </w:rPr>
        <w:t>通过虚拟仿真实训，系统掌握了牛胚胎移植的核心技术流程，包括激素调控、胚胎操作及妊娠诊断。实验表明，规范操作和细节把控（如消毒、同步性）是提高繁殖效率的关键。</w:t>
      </w:r>
    </w:p>
    <w:p w14:paraId="7655BB87">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r>
        <w:rPr>
          <w:rStyle w:val="15"/>
          <w:rFonts w:hint="default" w:ascii="Segoe UI" w:hAnsi="Segoe UI" w:eastAsia="Segoe UI" w:cs="Segoe UI"/>
          <w:i w:val="0"/>
          <w:iCs w:val="0"/>
          <w:caps w:val="0"/>
          <w:color w:val="404040"/>
          <w:spacing w:val="0"/>
          <w:sz w:val="24"/>
          <w:szCs w:val="24"/>
          <w:shd w:val="clear" w:fill="FFFFFF"/>
        </w:rPr>
        <w:t>指导教师评语：</w:t>
      </w:r>
    </w:p>
    <w:p w14:paraId="007F9AFB">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30B6DEC6">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47340AA5">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39B2E0A5">
      <w:pPr>
        <w:pStyle w:val="11"/>
        <w:keepNext w:val="0"/>
        <w:keepLines w:val="0"/>
        <w:widowControl/>
        <w:suppressLineNumbers w:val="0"/>
        <w:shd w:val="clear" w:fill="FFFFFF"/>
        <w:spacing w:before="206" w:beforeAutospacing="0" w:after="206" w:afterAutospacing="0" w:line="429" w:lineRule="atLeast"/>
        <w:ind w:left="0" w:right="0" w:firstLine="0"/>
        <w:jc w:val="right"/>
        <w:rPr>
          <w:rFonts w:hint="default"/>
          <w:lang w:val="en-US" w:eastAsia="zh-CN"/>
        </w:rPr>
      </w:pPr>
      <w:r>
        <w:rPr>
          <w:rStyle w:val="15"/>
          <w:rFonts w:hint="default" w:ascii="Segoe UI" w:hAnsi="Segoe UI" w:eastAsia="Segoe UI" w:cs="Segoe UI"/>
          <w:i w:val="0"/>
          <w:iCs w:val="0"/>
          <w:caps w:val="0"/>
          <w:color w:val="404040"/>
          <w:spacing w:val="0"/>
          <w:sz w:val="24"/>
          <w:szCs w:val="24"/>
          <w:shd w:val="clear" w:fill="FFFFFF"/>
        </w:rPr>
        <w:t>成绩：</w:t>
      </w:r>
      <w:r>
        <w:rPr>
          <w:rStyle w:val="15"/>
          <w:rFonts w:hint="default" w:ascii="Segoe UI" w:hAnsi="Segoe UI" w:eastAsia="Segoe UI" w:cs="Segoe UI"/>
          <w:i w:val="0"/>
          <w:iCs w:val="0"/>
          <w:caps w:val="0"/>
          <w:color w:val="404040"/>
          <w:spacing w:val="0"/>
          <w:sz w:val="24"/>
          <w:szCs w:val="24"/>
          <w:u w:val="single"/>
          <w:shd w:val="clear" w:fill="FFFFFF"/>
        </w:rPr>
        <w:t>_________</w:t>
      </w:r>
      <w:r>
        <w:rPr>
          <w:rStyle w:val="15"/>
          <w:rFonts w:hint="eastAsia" w:ascii="Segoe UI" w:hAnsi="Segoe UI" w:eastAsia="宋体" w:cs="Segoe UI"/>
          <w:i w:val="0"/>
          <w:iCs w:val="0"/>
          <w:caps w:val="0"/>
          <w:color w:val="404040"/>
          <w:spacing w:val="0"/>
          <w:sz w:val="24"/>
          <w:szCs w:val="24"/>
          <w:u w:val="single"/>
          <w:shd w:val="clear" w:fill="FFFFFF"/>
          <w:lang w:val="en-US" w:eastAsia="zh-CN"/>
        </w:rPr>
        <w:t xml:space="preserve">   </w:t>
      </w:r>
      <w:r>
        <w:rPr>
          <w:rFonts w:hint="default" w:ascii="Segoe UI" w:hAnsi="Segoe UI" w:eastAsia="Segoe UI" w:cs="Segoe UI"/>
          <w:i w:val="0"/>
          <w:iCs w:val="0"/>
          <w:caps w:val="0"/>
          <w:color w:val="404040"/>
          <w:spacing w:val="0"/>
          <w:sz w:val="24"/>
          <w:szCs w:val="24"/>
          <w:shd w:val="clear" w:fill="FFFFFF"/>
        </w:rPr>
        <w:br w:type="textWrapping"/>
      </w:r>
      <w:r>
        <w:rPr>
          <w:rStyle w:val="15"/>
          <w:rFonts w:hint="default" w:ascii="Segoe UI" w:hAnsi="Segoe UI" w:eastAsia="Segoe UI" w:cs="Segoe UI"/>
          <w:i w:val="0"/>
          <w:iCs w:val="0"/>
          <w:caps w:val="0"/>
          <w:color w:val="404040"/>
          <w:spacing w:val="0"/>
          <w:sz w:val="24"/>
          <w:szCs w:val="24"/>
          <w:shd w:val="clear" w:fill="FFFFFF"/>
        </w:rPr>
        <w:t>签名：_________</w:t>
      </w:r>
      <w:r>
        <w:rPr>
          <w:rFonts w:hint="default" w:ascii="Segoe UI" w:hAnsi="Segoe UI" w:eastAsia="Segoe UI" w:cs="Segoe UI"/>
          <w:i w:val="0"/>
          <w:iCs w:val="0"/>
          <w:caps w:val="0"/>
          <w:color w:val="404040"/>
          <w:spacing w:val="0"/>
          <w:sz w:val="24"/>
          <w:szCs w:val="24"/>
          <w:shd w:val="clear" w:fill="FFFFFF"/>
        </w:rPr>
        <w:br w:type="textWrapping"/>
      </w:r>
      <w:r>
        <w:rPr>
          <w:rStyle w:val="15"/>
          <w:rFonts w:hint="default" w:ascii="Segoe UI" w:hAnsi="Segoe UI" w:eastAsia="Segoe UI" w:cs="Segoe UI"/>
          <w:i w:val="0"/>
          <w:iCs w:val="0"/>
          <w:caps w:val="0"/>
          <w:color w:val="404040"/>
          <w:spacing w:val="0"/>
          <w:sz w:val="24"/>
          <w:szCs w:val="24"/>
          <w:shd w:val="clear" w:fill="FFFFFF"/>
        </w:rPr>
        <w:t>日期：_________</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5188121"/>
      <w:docPartObj>
        <w:docPartGallery w:val="autotext"/>
      </w:docPartObj>
    </w:sdtPr>
    <w:sdtContent>
      <w:p w14:paraId="680BE3D8">
        <w:pPr>
          <w:pStyle w:val="7"/>
          <w:jc w:val="center"/>
        </w:pPr>
        <w:r>
          <w:fldChar w:fldCharType="begin"/>
        </w:r>
        <w:r>
          <w:instrText xml:space="preserve">PAGE   \* MERGEFORMAT</w:instrText>
        </w:r>
        <w:r>
          <w:fldChar w:fldCharType="separate"/>
        </w:r>
        <w:r>
          <w:rPr>
            <w:lang w:val="zh-CN"/>
          </w:rPr>
          <w:t>2</w:t>
        </w:r>
        <w:r>
          <w:fldChar w:fldCharType="end"/>
        </w:r>
      </w:p>
    </w:sdtContent>
  </w:sdt>
  <w:p w14:paraId="5272A0F9">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EBA203"/>
    <w:multiLevelType w:val="singleLevel"/>
    <w:tmpl w:val="81EBA203"/>
    <w:lvl w:ilvl="0" w:tentative="0">
      <w:start w:val="1"/>
      <w:numFmt w:val="decimalEnclosedCircleChinese"/>
      <w:suff w:val="nothing"/>
      <w:lvlText w:val="%1　"/>
      <w:lvlJc w:val="left"/>
      <w:pPr>
        <w:ind w:left="0" w:firstLine="400"/>
      </w:pPr>
      <w:rPr>
        <w:rFonts w:hint="eastAsia"/>
      </w:rPr>
    </w:lvl>
  </w:abstractNum>
  <w:abstractNum w:abstractNumId="1">
    <w:nsid w:val="965B41C9"/>
    <w:multiLevelType w:val="singleLevel"/>
    <w:tmpl w:val="965B41C9"/>
    <w:lvl w:ilvl="0" w:tentative="0">
      <w:start w:val="1"/>
      <w:numFmt w:val="decimal"/>
      <w:lvlText w:val="(%1)"/>
      <w:lvlJc w:val="left"/>
      <w:pPr>
        <w:ind w:left="425" w:hanging="425"/>
      </w:pPr>
      <w:rPr>
        <w:rFonts w:hint="default"/>
      </w:rPr>
    </w:lvl>
  </w:abstractNum>
  <w:abstractNum w:abstractNumId="2">
    <w:nsid w:val="AFB12F82"/>
    <w:multiLevelType w:val="singleLevel"/>
    <w:tmpl w:val="AFB12F82"/>
    <w:lvl w:ilvl="0" w:tentative="0">
      <w:start w:val="1"/>
      <w:numFmt w:val="decimalEnclosedCircleChinese"/>
      <w:suff w:val="nothing"/>
      <w:lvlText w:val="%1　"/>
      <w:lvlJc w:val="left"/>
      <w:pPr>
        <w:ind w:left="0" w:firstLine="400"/>
      </w:pPr>
      <w:rPr>
        <w:rFonts w:hint="eastAsia"/>
      </w:rPr>
    </w:lvl>
  </w:abstractNum>
  <w:abstractNum w:abstractNumId="3">
    <w:nsid w:val="B6111857"/>
    <w:multiLevelType w:val="singleLevel"/>
    <w:tmpl w:val="B6111857"/>
    <w:lvl w:ilvl="0" w:tentative="0">
      <w:start w:val="1"/>
      <w:numFmt w:val="decimalEnclosedCircleChinese"/>
      <w:suff w:val="nothing"/>
      <w:lvlText w:val="%1　"/>
      <w:lvlJc w:val="left"/>
      <w:pPr>
        <w:ind w:left="0" w:firstLine="400"/>
      </w:pPr>
      <w:rPr>
        <w:rFonts w:hint="eastAsia"/>
      </w:rPr>
    </w:lvl>
  </w:abstractNum>
  <w:abstractNum w:abstractNumId="4">
    <w:nsid w:val="C8683BC7"/>
    <w:multiLevelType w:val="singleLevel"/>
    <w:tmpl w:val="C8683BC7"/>
    <w:lvl w:ilvl="0" w:tentative="0">
      <w:start w:val="1"/>
      <w:numFmt w:val="decimal"/>
      <w:lvlText w:val="%1."/>
      <w:lvlJc w:val="left"/>
      <w:pPr>
        <w:ind w:left="425" w:hanging="425"/>
      </w:pPr>
      <w:rPr>
        <w:rFonts w:hint="default"/>
      </w:rPr>
    </w:lvl>
  </w:abstractNum>
  <w:abstractNum w:abstractNumId="5">
    <w:nsid w:val="CD61EE21"/>
    <w:multiLevelType w:val="singleLevel"/>
    <w:tmpl w:val="CD61EE21"/>
    <w:lvl w:ilvl="0" w:tentative="0">
      <w:start w:val="1"/>
      <w:numFmt w:val="decimalEnclosedCircleChinese"/>
      <w:suff w:val="nothing"/>
      <w:lvlText w:val="%1　"/>
      <w:lvlJc w:val="left"/>
      <w:pPr>
        <w:ind w:left="0" w:firstLine="400"/>
      </w:pPr>
      <w:rPr>
        <w:rFonts w:hint="eastAsia"/>
      </w:rPr>
    </w:lvl>
  </w:abstractNum>
  <w:abstractNum w:abstractNumId="6">
    <w:nsid w:val="E0605B55"/>
    <w:multiLevelType w:val="singleLevel"/>
    <w:tmpl w:val="E0605B55"/>
    <w:lvl w:ilvl="0" w:tentative="0">
      <w:start w:val="1"/>
      <w:numFmt w:val="decimalEnclosedCircleChinese"/>
      <w:suff w:val="nothing"/>
      <w:lvlText w:val="%1　"/>
      <w:lvlJc w:val="left"/>
      <w:pPr>
        <w:ind w:left="0" w:firstLine="400"/>
      </w:pPr>
      <w:rPr>
        <w:rFonts w:hint="eastAsia"/>
      </w:rPr>
    </w:lvl>
  </w:abstractNum>
  <w:abstractNum w:abstractNumId="7">
    <w:nsid w:val="EB566B15"/>
    <w:multiLevelType w:val="singleLevel"/>
    <w:tmpl w:val="EB566B15"/>
    <w:lvl w:ilvl="0" w:tentative="0">
      <w:start w:val="1"/>
      <w:numFmt w:val="decimalEnclosedCircleChinese"/>
      <w:suff w:val="nothing"/>
      <w:lvlText w:val="%1　"/>
      <w:lvlJc w:val="left"/>
      <w:pPr>
        <w:ind w:left="0" w:firstLine="400"/>
      </w:pPr>
      <w:rPr>
        <w:rFonts w:hint="eastAsia"/>
      </w:rPr>
    </w:lvl>
  </w:abstractNum>
  <w:abstractNum w:abstractNumId="8">
    <w:nsid w:val="00CC9450"/>
    <w:multiLevelType w:val="singleLevel"/>
    <w:tmpl w:val="00CC9450"/>
    <w:lvl w:ilvl="0" w:tentative="0">
      <w:start w:val="1"/>
      <w:numFmt w:val="decimal"/>
      <w:lvlText w:val="(%1)"/>
      <w:lvlJc w:val="left"/>
      <w:pPr>
        <w:ind w:left="425" w:hanging="425"/>
      </w:pPr>
      <w:rPr>
        <w:rFonts w:hint="default"/>
      </w:rPr>
    </w:lvl>
  </w:abstractNum>
  <w:abstractNum w:abstractNumId="9">
    <w:nsid w:val="05294065"/>
    <w:multiLevelType w:val="singleLevel"/>
    <w:tmpl w:val="05294065"/>
    <w:lvl w:ilvl="0" w:tentative="0">
      <w:start w:val="1"/>
      <w:numFmt w:val="decimalEnclosedCircleChinese"/>
      <w:suff w:val="nothing"/>
      <w:lvlText w:val="%1　"/>
      <w:lvlJc w:val="left"/>
      <w:pPr>
        <w:ind w:left="0" w:firstLine="400"/>
      </w:pPr>
      <w:rPr>
        <w:rFonts w:hint="eastAsia"/>
      </w:rPr>
    </w:lvl>
  </w:abstractNum>
  <w:abstractNum w:abstractNumId="10">
    <w:nsid w:val="06794A72"/>
    <w:multiLevelType w:val="singleLevel"/>
    <w:tmpl w:val="06794A72"/>
    <w:lvl w:ilvl="0" w:tentative="0">
      <w:start w:val="1"/>
      <w:numFmt w:val="decimalEnclosedCircleChinese"/>
      <w:suff w:val="nothing"/>
      <w:lvlText w:val="%1　"/>
      <w:lvlJc w:val="left"/>
      <w:pPr>
        <w:ind w:left="0" w:firstLine="400"/>
      </w:pPr>
      <w:rPr>
        <w:rFonts w:hint="eastAsia"/>
      </w:rPr>
    </w:lvl>
  </w:abstractNum>
  <w:abstractNum w:abstractNumId="11">
    <w:nsid w:val="077F479D"/>
    <w:multiLevelType w:val="singleLevel"/>
    <w:tmpl w:val="077F479D"/>
    <w:lvl w:ilvl="0" w:tentative="0">
      <w:start w:val="1"/>
      <w:numFmt w:val="decimalEnclosedCircleChinese"/>
      <w:suff w:val="nothing"/>
      <w:lvlText w:val="%1　"/>
      <w:lvlJc w:val="left"/>
      <w:pPr>
        <w:ind w:left="0" w:firstLine="400"/>
      </w:pPr>
      <w:rPr>
        <w:rFonts w:hint="eastAsia"/>
      </w:rPr>
    </w:lvl>
  </w:abstractNum>
  <w:abstractNum w:abstractNumId="12">
    <w:nsid w:val="1C4315DA"/>
    <w:multiLevelType w:val="singleLevel"/>
    <w:tmpl w:val="1C4315DA"/>
    <w:lvl w:ilvl="0" w:tentative="0">
      <w:start w:val="1"/>
      <w:numFmt w:val="decimal"/>
      <w:lvlText w:val="%1)"/>
      <w:lvlJc w:val="left"/>
      <w:pPr>
        <w:ind w:left="425" w:hanging="425"/>
      </w:pPr>
      <w:rPr>
        <w:rFonts w:hint="default"/>
      </w:rPr>
    </w:lvl>
  </w:abstractNum>
  <w:abstractNum w:abstractNumId="13">
    <w:nsid w:val="24B695A4"/>
    <w:multiLevelType w:val="singleLevel"/>
    <w:tmpl w:val="24B695A4"/>
    <w:lvl w:ilvl="0" w:tentative="0">
      <w:start w:val="3"/>
      <w:numFmt w:val="chineseCounting"/>
      <w:suff w:val="nothing"/>
      <w:lvlText w:val="%1、"/>
      <w:lvlJc w:val="left"/>
      <w:rPr>
        <w:rFonts w:hint="eastAsia"/>
      </w:rPr>
    </w:lvl>
  </w:abstractNum>
  <w:abstractNum w:abstractNumId="14">
    <w:nsid w:val="279E6FB5"/>
    <w:multiLevelType w:val="singleLevel"/>
    <w:tmpl w:val="279E6FB5"/>
    <w:lvl w:ilvl="0" w:tentative="0">
      <w:start w:val="1"/>
      <w:numFmt w:val="decimal"/>
      <w:lvlText w:val="%1."/>
      <w:lvlJc w:val="left"/>
      <w:pPr>
        <w:ind w:left="425" w:hanging="425"/>
      </w:pPr>
      <w:rPr>
        <w:rFonts w:hint="default"/>
      </w:rPr>
    </w:lvl>
  </w:abstractNum>
  <w:abstractNum w:abstractNumId="15">
    <w:nsid w:val="3053154B"/>
    <w:multiLevelType w:val="singleLevel"/>
    <w:tmpl w:val="3053154B"/>
    <w:lvl w:ilvl="0" w:tentative="0">
      <w:start w:val="1"/>
      <w:numFmt w:val="decimalEnclosedCircleChinese"/>
      <w:suff w:val="nothing"/>
      <w:lvlText w:val="%1　"/>
      <w:lvlJc w:val="left"/>
      <w:pPr>
        <w:ind w:left="0" w:firstLine="400"/>
      </w:pPr>
      <w:rPr>
        <w:rFonts w:hint="eastAsia"/>
      </w:rPr>
    </w:lvl>
  </w:abstractNum>
  <w:abstractNum w:abstractNumId="16">
    <w:nsid w:val="363FB934"/>
    <w:multiLevelType w:val="singleLevel"/>
    <w:tmpl w:val="363FB934"/>
    <w:lvl w:ilvl="0" w:tentative="0">
      <w:start w:val="1"/>
      <w:numFmt w:val="decimalEnclosedCircleChinese"/>
      <w:suff w:val="nothing"/>
      <w:lvlText w:val="%1　"/>
      <w:lvlJc w:val="left"/>
      <w:pPr>
        <w:ind w:left="0" w:firstLine="400"/>
      </w:pPr>
      <w:rPr>
        <w:rFonts w:hint="eastAsia"/>
      </w:rPr>
    </w:lvl>
  </w:abstractNum>
  <w:abstractNum w:abstractNumId="17">
    <w:nsid w:val="4E218647"/>
    <w:multiLevelType w:val="singleLevel"/>
    <w:tmpl w:val="4E218647"/>
    <w:lvl w:ilvl="0" w:tentative="0">
      <w:start w:val="1"/>
      <w:numFmt w:val="decimal"/>
      <w:lvlText w:val="(%1)"/>
      <w:lvlJc w:val="left"/>
      <w:pPr>
        <w:ind w:left="425" w:hanging="425"/>
      </w:pPr>
      <w:rPr>
        <w:rFonts w:hint="default"/>
      </w:rPr>
    </w:lvl>
  </w:abstractNum>
  <w:abstractNum w:abstractNumId="18">
    <w:nsid w:val="4F320CF8"/>
    <w:multiLevelType w:val="singleLevel"/>
    <w:tmpl w:val="4F320CF8"/>
    <w:lvl w:ilvl="0" w:tentative="0">
      <w:start w:val="1"/>
      <w:numFmt w:val="decimal"/>
      <w:suff w:val="nothing"/>
      <w:lvlText w:val="%1．"/>
      <w:lvlJc w:val="left"/>
      <w:pPr>
        <w:ind w:left="0" w:firstLine="400"/>
      </w:pPr>
      <w:rPr>
        <w:rFonts w:hint="default"/>
      </w:rPr>
    </w:lvl>
  </w:abstractNum>
  <w:abstractNum w:abstractNumId="19">
    <w:nsid w:val="5BA7C784"/>
    <w:multiLevelType w:val="singleLevel"/>
    <w:tmpl w:val="5BA7C784"/>
    <w:lvl w:ilvl="0" w:tentative="0">
      <w:start w:val="1"/>
      <w:numFmt w:val="decimalEnclosedCircleChinese"/>
      <w:suff w:val="nothing"/>
      <w:lvlText w:val="%1　"/>
      <w:lvlJc w:val="left"/>
      <w:pPr>
        <w:ind w:left="0" w:firstLine="400"/>
      </w:pPr>
      <w:rPr>
        <w:rFonts w:hint="eastAsia"/>
      </w:rPr>
    </w:lvl>
  </w:abstractNum>
  <w:abstractNum w:abstractNumId="20">
    <w:nsid w:val="6376095F"/>
    <w:multiLevelType w:val="singleLevel"/>
    <w:tmpl w:val="6376095F"/>
    <w:lvl w:ilvl="0" w:tentative="0">
      <w:start w:val="1"/>
      <w:numFmt w:val="decimalEnclosedCircleChinese"/>
      <w:suff w:val="nothing"/>
      <w:lvlText w:val="%1　"/>
      <w:lvlJc w:val="left"/>
      <w:pPr>
        <w:ind w:left="0" w:firstLine="400"/>
      </w:pPr>
      <w:rPr>
        <w:rFonts w:hint="eastAsia"/>
      </w:rPr>
    </w:lvl>
  </w:abstractNum>
  <w:abstractNum w:abstractNumId="21">
    <w:nsid w:val="6736AF58"/>
    <w:multiLevelType w:val="singleLevel"/>
    <w:tmpl w:val="6736AF58"/>
    <w:lvl w:ilvl="0" w:tentative="0">
      <w:start w:val="1"/>
      <w:numFmt w:val="decimalEnclosedCircleChinese"/>
      <w:suff w:val="nothing"/>
      <w:lvlText w:val="%1　"/>
      <w:lvlJc w:val="left"/>
      <w:pPr>
        <w:ind w:left="0" w:firstLine="400"/>
      </w:pPr>
      <w:rPr>
        <w:rFonts w:hint="eastAsia"/>
      </w:rPr>
    </w:lvl>
  </w:abstractNum>
  <w:abstractNum w:abstractNumId="22">
    <w:nsid w:val="6B5D59C8"/>
    <w:multiLevelType w:val="singleLevel"/>
    <w:tmpl w:val="6B5D59C8"/>
    <w:lvl w:ilvl="0" w:tentative="0">
      <w:start w:val="1"/>
      <w:numFmt w:val="decimalEnclosedCircleChinese"/>
      <w:suff w:val="nothing"/>
      <w:lvlText w:val="%1　"/>
      <w:lvlJc w:val="left"/>
      <w:pPr>
        <w:ind w:left="0" w:firstLine="400"/>
      </w:pPr>
      <w:rPr>
        <w:rFonts w:hint="eastAsia"/>
      </w:rPr>
    </w:lvl>
  </w:abstractNum>
  <w:abstractNum w:abstractNumId="23">
    <w:nsid w:val="71B9062A"/>
    <w:multiLevelType w:val="singleLevel"/>
    <w:tmpl w:val="71B9062A"/>
    <w:lvl w:ilvl="0" w:tentative="0">
      <w:start w:val="1"/>
      <w:numFmt w:val="decimalEnclosedCircleChinese"/>
      <w:suff w:val="nothing"/>
      <w:lvlText w:val="%1　"/>
      <w:lvlJc w:val="left"/>
      <w:pPr>
        <w:ind w:left="0" w:firstLine="400"/>
      </w:pPr>
      <w:rPr>
        <w:rFonts w:hint="eastAsia"/>
      </w:rPr>
    </w:lvl>
  </w:abstractNum>
  <w:abstractNum w:abstractNumId="24">
    <w:nsid w:val="74BC92BC"/>
    <w:multiLevelType w:val="singleLevel"/>
    <w:tmpl w:val="74BC92BC"/>
    <w:lvl w:ilvl="0" w:tentative="0">
      <w:start w:val="1"/>
      <w:numFmt w:val="decimal"/>
      <w:lvlText w:val="%1."/>
      <w:lvlJc w:val="left"/>
      <w:pPr>
        <w:ind w:left="425" w:hanging="425"/>
      </w:pPr>
      <w:rPr>
        <w:rFonts w:hint="default"/>
      </w:rPr>
    </w:lvl>
  </w:abstractNum>
  <w:abstractNum w:abstractNumId="25">
    <w:nsid w:val="7882A0A9"/>
    <w:multiLevelType w:val="singleLevel"/>
    <w:tmpl w:val="7882A0A9"/>
    <w:lvl w:ilvl="0" w:tentative="0">
      <w:start w:val="1"/>
      <w:numFmt w:val="decimal"/>
      <w:lvlText w:val="(%1)"/>
      <w:lvlJc w:val="left"/>
      <w:pPr>
        <w:ind w:left="425" w:hanging="425"/>
      </w:pPr>
      <w:rPr>
        <w:rFonts w:hint="default"/>
      </w:rPr>
    </w:lvl>
  </w:abstractNum>
  <w:num w:numId="1">
    <w:abstractNumId w:val="14"/>
  </w:num>
  <w:num w:numId="2">
    <w:abstractNumId w:val="25"/>
  </w:num>
  <w:num w:numId="3">
    <w:abstractNumId w:val="17"/>
  </w:num>
  <w:num w:numId="4">
    <w:abstractNumId w:val="15"/>
  </w:num>
  <w:num w:numId="5">
    <w:abstractNumId w:val="12"/>
  </w:num>
  <w:num w:numId="6">
    <w:abstractNumId w:val="18"/>
  </w:num>
  <w:num w:numId="7">
    <w:abstractNumId w:val="3"/>
  </w:num>
  <w:num w:numId="8">
    <w:abstractNumId w:val="20"/>
  </w:num>
  <w:num w:numId="9">
    <w:abstractNumId w:val="16"/>
  </w:num>
  <w:num w:numId="10">
    <w:abstractNumId w:val="5"/>
  </w:num>
  <w:num w:numId="11">
    <w:abstractNumId w:val="6"/>
  </w:num>
  <w:num w:numId="12">
    <w:abstractNumId w:val="23"/>
  </w:num>
  <w:num w:numId="13">
    <w:abstractNumId w:val="9"/>
  </w:num>
  <w:num w:numId="14">
    <w:abstractNumId w:val="1"/>
  </w:num>
  <w:num w:numId="15">
    <w:abstractNumId w:val="2"/>
  </w:num>
  <w:num w:numId="16">
    <w:abstractNumId w:val="22"/>
  </w:num>
  <w:num w:numId="17">
    <w:abstractNumId w:val="7"/>
  </w:num>
  <w:num w:numId="18">
    <w:abstractNumId w:val="0"/>
  </w:num>
  <w:num w:numId="19">
    <w:abstractNumId w:val="21"/>
  </w:num>
  <w:num w:numId="20">
    <w:abstractNumId w:val="10"/>
  </w:num>
  <w:num w:numId="21">
    <w:abstractNumId w:val="19"/>
  </w:num>
  <w:num w:numId="22">
    <w:abstractNumId w:val="11"/>
  </w:num>
  <w:num w:numId="23">
    <w:abstractNumId w:val="13"/>
  </w:num>
  <w:num w:numId="24">
    <w:abstractNumId w:val="24"/>
  </w:num>
  <w:num w:numId="25">
    <w:abstractNumId w:val="8"/>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VlZmU3YjUxNGIwZTNkZTU1ZGZlNTdmNmM1NWViYjgifQ=="/>
  </w:docVars>
  <w:rsids>
    <w:rsidRoot w:val="004F44A9"/>
    <w:rsid w:val="00025AA6"/>
    <w:rsid w:val="00195BDC"/>
    <w:rsid w:val="0026174B"/>
    <w:rsid w:val="00304848"/>
    <w:rsid w:val="00335858"/>
    <w:rsid w:val="003F53F4"/>
    <w:rsid w:val="003F6F93"/>
    <w:rsid w:val="00450DF5"/>
    <w:rsid w:val="00473193"/>
    <w:rsid w:val="004E2A14"/>
    <w:rsid w:val="004F44A9"/>
    <w:rsid w:val="00513718"/>
    <w:rsid w:val="006373DF"/>
    <w:rsid w:val="00640DE5"/>
    <w:rsid w:val="006D774B"/>
    <w:rsid w:val="008426E5"/>
    <w:rsid w:val="00996DF9"/>
    <w:rsid w:val="009C75F0"/>
    <w:rsid w:val="00AA6292"/>
    <w:rsid w:val="00B6044A"/>
    <w:rsid w:val="00C67AAB"/>
    <w:rsid w:val="00CA4EE2"/>
    <w:rsid w:val="00CC2284"/>
    <w:rsid w:val="00CE5764"/>
    <w:rsid w:val="00D347F0"/>
    <w:rsid w:val="00DA678D"/>
    <w:rsid w:val="00F0465D"/>
    <w:rsid w:val="00F5479C"/>
    <w:rsid w:val="01B31430"/>
    <w:rsid w:val="02B40E52"/>
    <w:rsid w:val="02FA438B"/>
    <w:rsid w:val="05512AE0"/>
    <w:rsid w:val="08381BDD"/>
    <w:rsid w:val="09246605"/>
    <w:rsid w:val="0A8D6EFD"/>
    <w:rsid w:val="0E707BF7"/>
    <w:rsid w:val="109E6C9D"/>
    <w:rsid w:val="157A15CB"/>
    <w:rsid w:val="19172632"/>
    <w:rsid w:val="19D454DE"/>
    <w:rsid w:val="1A4D670F"/>
    <w:rsid w:val="1CE95744"/>
    <w:rsid w:val="1D230C56"/>
    <w:rsid w:val="1EA41923"/>
    <w:rsid w:val="23AA1A25"/>
    <w:rsid w:val="24134E25"/>
    <w:rsid w:val="261559F4"/>
    <w:rsid w:val="268B33C8"/>
    <w:rsid w:val="269C2300"/>
    <w:rsid w:val="277A1305"/>
    <w:rsid w:val="27E40FE2"/>
    <w:rsid w:val="2AED28A3"/>
    <w:rsid w:val="2BF06735"/>
    <w:rsid w:val="2F1321AD"/>
    <w:rsid w:val="30A3336F"/>
    <w:rsid w:val="319639A9"/>
    <w:rsid w:val="35FA7CBE"/>
    <w:rsid w:val="37F05E2B"/>
    <w:rsid w:val="38A02D03"/>
    <w:rsid w:val="3AAB3FD3"/>
    <w:rsid w:val="406665E0"/>
    <w:rsid w:val="40997F10"/>
    <w:rsid w:val="468A6DA0"/>
    <w:rsid w:val="4ABB39CC"/>
    <w:rsid w:val="4EF23735"/>
    <w:rsid w:val="52DF0841"/>
    <w:rsid w:val="54AD45FC"/>
    <w:rsid w:val="554F368F"/>
    <w:rsid w:val="557C6C3D"/>
    <w:rsid w:val="56E30D76"/>
    <w:rsid w:val="584B0256"/>
    <w:rsid w:val="58E32A6C"/>
    <w:rsid w:val="5AF50835"/>
    <w:rsid w:val="5C7B745F"/>
    <w:rsid w:val="5E263388"/>
    <w:rsid w:val="61F41846"/>
    <w:rsid w:val="633A772C"/>
    <w:rsid w:val="66DE6971"/>
    <w:rsid w:val="67034111"/>
    <w:rsid w:val="6A7A48B2"/>
    <w:rsid w:val="6E554DC4"/>
    <w:rsid w:val="73773650"/>
    <w:rsid w:val="771B5709"/>
    <w:rsid w:val="79917D7E"/>
    <w:rsid w:val="79D044EF"/>
    <w:rsid w:val="7CC93E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24"/>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2"/>
    <w:autoRedefine/>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5">
    <w:name w:val="toc 3"/>
    <w:basedOn w:val="1"/>
    <w:next w:val="1"/>
    <w:autoRedefine/>
    <w:unhideWhenUsed/>
    <w:qFormat/>
    <w:uiPriority w:val="39"/>
    <w:pPr>
      <w:widowControl/>
      <w:spacing w:after="100" w:line="259" w:lineRule="auto"/>
      <w:ind w:left="440"/>
      <w:jc w:val="left"/>
    </w:pPr>
    <w:rPr>
      <w:rFonts w:cs="Times New Roman"/>
      <w:kern w:val="0"/>
      <w:sz w:val="22"/>
      <w14:ligatures w14:val="none"/>
    </w:rPr>
  </w:style>
  <w:style w:type="paragraph" w:styleId="6">
    <w:name w:val="Balloon Text"/>
    <w:basedOn w:val="1"/>
    <w:link w:val="19"/>
    <w:autoRedefine/>
    <w:qFormat/>
    <w:uiPriority w:val="0"/>
    <w:rPr>
      <w:sz w:val="18"/>
      <w:szCs w:val="18"/>
    </w:rPr>
  </w:style>
  <w:style w:type="paragraph" w:styleId="7">
    <w:name w:val="footer"/>
    <w:basedOn w:val="1"/>
    <w:link w:val="18"/>
    <w:autoRedefine/>
    <w:unhideWhenUsed/>
    <w:qFormat/>
    <w:uiPriority w:val="99"/>
    <w:pPr>
      <w:tabs>
        <w:tab w:val="center" w:pos="4153"/>
        <w:tab w:val="right" w:pos="8306"/>
      </w:tabs>
      <w:snapToGrid w:val="0"/>
      <w:jc w:val="left"/>
    </w:pPr>
    <w:rPr>
      <w:sz w:val="18"/>
      <w:szCs w:val="18"/>
    </w:rPr>
  </w:style>
  <w:style w:type="paragraph" w:styleId="8">
    <w:name w:val="header"/>
    <w:basedOn w:val="1"/>
    <w:link w:val="17"/>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autoRedefine/>
    <w:unhideWhenUsed/>
    <w:qFormat/>
    <w:uiPriority w:val="39"/>
    <w:pPr>
      <w:widowControl/>
      <w:spacing w:after="100" w:line="259" w:lineRule="auto"/>
      <w:jc w:val="left"/>
    </w:pPr>
    <w:rPr>
      <w:rFonts w:cs="Times New Roman"/>
      <w:kern w:val="0"/>
      <w:sz w:val="22"/>
      <w14:ligatures w14:val="none"/>
    </w:rPr>
  </w:style>
  <w:style w:type="paragraph" w:styleId="10">
    <w:name w:val="toc 2"/>
    <w:basedOn w:val="1"/>
    <w:next w:val="1"/>
    <w:autoRedefine/>
    <w:unhideWhenUsed/>
    <w:qFormat/>
    <w:uiPriority w:val="39"/>
    <w:pPr>
      <w:ind w:left="420" w:leftChars="200"/>
    </w:pPr>
  </w:style>
  <w:style w:type="paragraph" w:styleId="11">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2">
    <w:name w:val="Title"/>
    <w:basedOn w:val="1"/>
    <w:next w:val="1"/>
    <w:link w:val="23"/>
    <w:autoRedefine/>
    <w:qFormat/>
    <w:uiPriority w:val="0"/>
    <w:pPr>
      <w:spacing w:before="240" w:after="60"/>
      <w:jc w:val="center"/>
      <w:outlineLvl w:val="0"/>
    </w:pPr>
    <w:rPr>
      <w:rFonts w:asciiTheme="majorHAnsi" w:hAnsiTheme="majorHAnsi" w:eastAsiaTheme="majorEastAsia" w:cstheme="majorBidi"/>
      <w:b/>
      <w:bCs/>
      <w:sz w:val="32"/>
      <w:szCs w:val="32"/>
    </w:rPr>
  </w:style>
  <w:style w:type="character" w:styleId="15">
    <w:name w:val="Strong"/>
    <w:basedOn w:val="14"/>
    <w:qFormat/>
    <w:uiPriority w:val="0"/>
    <w:rPr>
      <w:b/>
    </w:rPr>
  </w:style>
  <w:style w:type="character" w:styleId="16">
    <w:name w:val="Hyperlink"/>
    <w:basedOn w:val="14"/>
    <w:autoRedefine/>
    <w:unhideWhenUsed/>
    <w:qFormat/>
    <w:uiPriority w:val="99"/>
    <w:rPr>
      <w:color w:val="0563C1" w:themeColor="hyperlink"/>
      <w:u w:val="single"/>
      <w14:textFill>
        <w14:solidFill>
          <w14:schemeClr w14:val="hlink"/>
        </w14:solidFill>
      </w14:textFill>
    </w:rPr>
  </w:style>
  <w:style w:type="character" w:customStyle="1" w:styleId="17">
    <w:name w:val="页眉 字符"/>
    <w:basedOn w:val="14"/>
    <w:link w:val="8"/>
    <w:autoRedefine/>
    <w:qFormat/>
    <w:uiPriority w:val="0"/>
    <w:rPr>
      <w:kern w:val="2"/>
      <w:sz w:val="18"/>
      <w:szCs w:val="22"/>
    </w:rPr>
  </w:style>
  <w:style w:type="character" w:customStyle="1" w:styleId="18">
    <w:name w:val="页脚 字符"/>
    <w:basedOn w:val="14"/>
    <w:link w:val="7"/>
    <w:autoRedefine/>
    <w:qFormat/>
    <w:uiPriority w:val="99"/>
    <w:rPr>
      <w:kern w:val="2"/>
      <w:sz w:val="18"/>
      <w:szCs w:val="18"/>
    </w:rPr>
  </w:style>
  <w:style w:type="character" w:customStyle="1" w:styleId="19">
    <w:name w:val="批注框文本 字符"/>
    <w:basedOn w:val="14"/>
    <w:link w:val="6"/>
    <w:autoRedefine/>
    <w:qFormat/>
    <w:uiPriority w:val="0"/>
    <w:rPr>
      <w:kern w:val="2"/>
      <w:sz w:val="18"/>
      <w:szCs w:val="18"/>
    </w:rPr>
  </w:style>
  <w:style w:type="character" w:styleId="20">
    <w:name w:val="Placeholder Text"/>
    <w:basedOn w:val="14"/>
    <w:autoRedefine/>
    <w:unhideWhenUsed/>
    <w:qFormat/>
    <w:uiPriority w:val="99"/>
    <w:rPr>
      <w:color w:val="808080"/>
    </w:rPr>
  </w:style>
  <w:style w:type="paragraph" w:styleId="21">
    <w:name w:val="List Paragraph"/>
    <w:basedOn w:val="1"/>
    <w:autoRedefine/>
    <w:qFormat/>
    <w:uiPriority w:val="34"/>
    <w:pPr>
      <w:ind w:firstLine="420" w:firstLineChars="200"/>
    </w:pPr>
  </w:style>
  <w:style w:type="character" w:customStyle="1" w:styleId="22">
    <w:name w:val="标题 2 字符"/>
    <w:basedOn w:val="14"/>
    <w:link w:val="3"/>
    <w:autoRedefine/>
    <w:qFormat/>
    <w:uiPriority w:val="0"/>
    <w:rPr>
      <w:rFonts w:asciiTheme="majorHAnsi" w:hAnsiTheme="majorHAnsi" w:eastAsiaTheme="majorEastAsia" w:cstheme="majorBidi"/>
      <w:b/>
      <w:bCs/>
      <w:sz w:val="32"/>
      <w:szCs w:val="32"/>
    </w:rPr>
  </w:style>
  <w:style w:type="character" w:customStyle="1" w:styleId="23">
    <w:name w:val="标题 字符"/>
    <w:basedOn w:val="14"/>
    <w:link w:val="12"/>
    <w:autoRedefine/>
    <w:qFormat/>
    <w:uiPriority w:val="0"/>
    <w:rPr>
      <w:rFonts w:asciiTheme="majorHAnsi" w:hAnsiTheme="majorHAnsi" w:eastAsiaTheme="majorEastAsia" w:cstheme="majorBidi"/>
      <w:b/>
      <w:bCs/>
      <w:sz w:val="32"/>
      <w:szCs w:val="32"/>
    </w:rPr>
  </w:style>
  <w:style w:type="character" w:customStyle="1" w:styleId="24">
    <w:name w:val="标题 1 字符"/>
    <w:basedOn w:val="14"/>
    <w:link w:val="2"/>
    <w:autoRedefine/>
    <w:qFormat/>
    <w:uiPriority w:val="0"/>
    <w:rPr>
      <w:b/>
      <w:bCs/>
      <w:kern w:val="44"/>
      <w:sz w:val="44"/>
      <w:szCs w:val="44"/>
    </w:rPr>
  </w:style>
  <w:style w:type="paragraph" w:customStyle="1" w:styleId="25">
    <w:name w:val="TOC Heading"/>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14:ligatures w14:val="none"/>
    </w:rPr>
  </w:style>
  <w:style w:type="paragraph" w:customStyle="1" w:styleId="26">
    <w:name w:val="WPSOffice手动目录 1"/>
    <w:qFormat/>
    <w:uiPriority w:val="0"/>
    <w:pPr>
      <w:ind w:leftChars="0"/>
    </w:pPr>
    <w:rPr>
      <w:rFonts w:ascii="Times New Roman" w:hAnsi="Times New Roman" w:eastAsia="宋体" w:cs="Times New Roman"/>
      <w:sz w:val="20"/>
      <w:szCs w:val="20"/>
    </w:rPr>
  </w:style>
  <w:style w:type="paragraph" w:customStyle="1" w:styleId="27">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6FBC93-037D-4CC5-A2D3-78DBB8AD9A15}">
  <ds:schemaRefs/>
</ds:datastoreItem>
</file>

<file path=docProps/app.xml><?xml version="1.0" encoding="utf-8"?>
<Properties xmlns="http://schemas.openxmlformats.org/officeDocument/2006/extended-properties" xmlns:vt="http://schemas.openxmlformats.org/officeDocument/2006/docPropsVTypes">
  <Template>Normal</Template>
  <Pages>17</Pages>
  <Words>9887</Words>
  <Characters>10546</Characters>
  <Lines>15</Lines>
  <Paragraphs>4</Paragraphs>
  <TotalTime>0</TotalTime>
  <ScaleCrop>false</ScaleCrop>
  <LinksUpToDate>false</LinksUpToDate>
  <CharactersWithSpaces>10803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2024-01-03T02:00:00Z</dcterms:created>
  <dc:creator>博文 张</dc:creator>
  <cp:lastModifiedBy>没头脑</cp:lastModifiedBy>
  <dcterms:modified xsi:type="dcterms:W3CDTF">2025-04-27T07:08:25Z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1E698E71A9E146AD84E023DFD458543E_13</vt:lpwstr>
  </property>
  <property fmtid="{D5CDD505-2E9C-101B-9397-08002B2CF9AE}" pid="4" name="KSOTemplateDocerSaveRecord">
    <vt:lpwstr>eyJoZGlkIjoiNDk3OTIzMTQwNDZiOWM1Nzg3YmI5MDM5ODA3OGMxNjQiLCJ1c2VySWQiOiIzNTQzMDA1NDkifQ==</vt:lpwstr>
  </property>
</Properties>
</file>